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226.png" ContentType="image/png"/>
  <Override PartName="/word/media/rId238.png" ContentType="image/png"/>
  <Override PartName="/word/media/rId256.png" ContentType="image/png"/>
  <Override PartName="/word/media/rId230.png" ContentType="image/png"/>
  <Override PartName="/word/media/rId234.png" ContentType="image/png"/>
  <Override PartName="/word/media/rId261.png" ContentType="image/png"/>
  <Override PartName="/word/media/rId24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Quantitative protocol and practical insights on engaging New Zealand’s Muslim communities</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2</w:t>
      </w:r>
      <w:r>
        <w:t xml:space="preserve">, Parus Khoso</w:t>
      </w:r>
      <w:r>
        <w:rPr>
          <w:vertAlign w:val="superscript"/>
        </w:rPr>
        <w:t xml:space="preserve">3</w:t>
      </w:r>
      <w:r>
        <w:t xml:space="preserve">, Farah Shawkat</w:t>
      </w:r>
      <w:r>
        <w:rPr>
          <w:vertAlign w:val="superscript"/>
        </w:rPr>
        <w:t xml:space="preserve">1</w:t>
      </w:r>
      <w:r>
        <w:t xml:space="preserve">, Fatima A. Junaid</w:t>
      </w:r>
      <w:r>
        <w:rPr>
          <w:vertAlign w:val="superscript"/>
        </w:rPr>
        <w:t xml:space="preserve">4</w:t>
      </w:r>
      <w:r>
        <w:t xml:space="preserve">, Ayca Arkilic</w:t>
      </w:r>
      <w:r>
        <w:rPr>
          <w:vertAlign w:val="superscript"/>
        </w:rPr>
        <w:t xml:space="preserve">5</w:t>
      </w:r>
      <w:r>
        <w:t xml:space="preserve">, Mazharuddin Syed Ahmed</w:t>
      </w:r>
      <w:r>
        <w:rPr>
          <w:vertAlign w:val="superscript"/>
        </w:rPr>
        <w:t xml:space="preserve">6</w:t>
      </w:r>
      <w:r>
        <w:t xml:space="preserve">, Hussain Raissi</w:t>
      </w:r>
      <w:r>
        <w:rPr>
          <w:vertAlign w:val="superscript"/>
        </w:rPr>
        <w:t xml:space="preserve">7</w:t>
      </w:r>
      <w:r>
        <w:t xml:space="preserve">, Hala Burhoum</w:t>
      </w:r>
      <w:r>
        <w:rPr>
          <w:vertAlign w:val="superscript"/>
        </w:rPr>
        <w:t xml:space="preserve">2</w:t>
      </w:r>
      <w:r>
        <w:t xml:space="preserve">, Tuba Azeem</w:t>
      </w:r>
      <w:r>
        <w:rPr>
          <w:vertAlign w:val="superscript"/>
        </w:rPr>
        <w:t xml:space="preserve">8</w:t>
      </w:r>
      <w:r>
        <w:t xml:space="preserve">, Iman Husain</w:t>
      </w:r>
      <w:r>
        <w:rPr>
          <w:vertAlign w:val="superscript"/>
        </w:rPr>
        <w:t xml:space="preserve">2</w:t>
      </w:r>
      <w:r>
        <w:t xml:space="preserve">, Zarqa Shaheen Ali</w:t>
      </w:r>
      <w:r>
        <w:rPr>
          <w:vertAlign w:val="superscript"/>
        </w:rPr>
        <w:t xml:space="preserve">9</w:t>
      </w:r>
      <w:r>
        <w:t xml:space="preserve">, Zahra Haidary</w:t>
      </w:r>
      <w:r>
        <w:rPr>
          <w:vertAlign w:val="superscript"/>
        </w:rPr>
        <w:t xml:space="preserve">2</w:t>
      </w:r>
      <w:r>
        <w:t xml:space="preserve">, Mashal Khan</w:t>
      </w:r>
      <w:r>
        <w:rPr>
          <w:vertAlign w:val="superscript"/>
        </w:rPr>
        <w:t xml:space="preserve">2</w:t>
      </w:r>
      <w:r>
        <w:t xml:space="preserve">, Mai Tamimi</w:t>
      </w:r>
      <w:r>
        <w:rPr>
          <w:vertAlign w:val="superscript"/>
        </w:rPr>
        <w:t xml:space="preserve">10</w:t>
      </w:r>
      <w:r>
        <w:t xml:space="preserve">, Nasratullah Hamid</w:t>
      </w:r>
      <w:r>
        <w:rPr>
          <w:vertAlign w:val="superscript"/>
        </w:rPr>
        <w:t xml:space="preserve">11</w:t>
      </w:r>
      <w:r>
        <w:t xml:space="preserve">, Gul e Aqsa</w:t>
      </w:r>
      <w:r>
        <w:rPr>
          <w:vertAlign w:val="superscript"/>
        </w:rPr>
        <w:t xml:space="preserve">12</w:t>
      </w:r>
      <w:r>
        <w:t xml:space="preserve">, Zahra Emamzadeh</w:t>
      </w:r>
      <w:r>
        <w:rPr>
          <w:vertAlign w:val="superscript"/>
        </w:rPr>
        <w:t xml:space="preserve">13</w:t>
      </w:r>
      <w:r>
        <w:t xml:space="preserve">, Rizwan Sulehry</w:t>
      </w:r>
      <w:r>
        <w:rPr>
          <w:vertAlign w:val="superscript"/>
        </w:rPr>
        <w:t xml:space="preserve">14</w:t>
      </w:r>
      <w:r>
        <w:t xml:space="preserve">, Somia Tasneem</w:t>
      </w:r>
      <w:r>
        <w:rPr>
          <w:vertAlign w:val="superscript"/>
        </w:rPr>
        <w:t xml:space="preserve">15</w:t>
      </w:r>
      <w:r>
        <w:t xml:space="preserve">, Aamina Ali</w:t>
      </w:r>
      <w:r>
        <w:rPr>
          <w:vertAlign w:val="superscript"/>
        </w:rPr>
        <w:t xml:space="preserve">16</w:t>
      </w:r>
      <w:r>
        <w:t xml:space="preserve">, Adepate Mustapha-Koiki</w:t>
      </w:r>
      <w:r>
        <w:rPr>
          <w:vertAlign w:val="superscript"/>
        </w:rPr>
        <w:t xml:space="preserve">17</w:t>
      </w:r>
      <w:r>
        <w:t xml:space="preserve">, Afrah Ali</w:t>
      </w:r>
      <w:r>
        <w:rPr>
          <w:vertAlign w:val="superscript"/>
        </w:rPr>
        <w:t xml:space="preserve">10</w:t>
      </w:r>
      <w:r>
        <w:t xml:space="preserve">, Sandila Tanveer</w:t>
      </w:r>
      <w:r>
        <w:rPr>
          <w:vertAlign w:val="superscript"/>
        </w:rPr>
        <w:t xml:space="preserve">11</w:t>
      </w:r>
      <w:r>
        <w:t xml:space="preserve">, Kumar Yogeeswaran</w:t>
      </w:r>
      <w:r>
        <w:rPr>
          <w:vertAlign w:val="superscript"/>
        </w:rPr>
        <w:t xml:space="preserve">2</w:t>
      </w:r>
      <w:r>
        <w:t xml:space="preserve">, Chris G. Sibley</w:t>
      </w:r>
      <w:r>
        <w:rPr>
          <w:vertAlign w:val="superscript"/>
        </w:rPr>
        <w:t xml:space="preserve">18</w:t>
      </w:r>
      <w:r>
        <w:t xml:space="preserve">, Joseph A. Bulbulia</w:t>
      </w:r>
      <w:r>
        <w:rPr>
          <w:vertAlign w:val="superscript"/>
        </w:rPr>
        <w:t xml:space="preserve">19,20</w:t>
      </w:r>
      <w:r>
        <w:t xml:space="preserve">, and Aarif A. Rasheed</w:t>
      </w:r>
      <w:r>
        <w:rPr>
          <w:vertAlign w:val="superscript"/>
        </w:rPr>
        <w:t xml:space="preserve">21</w:t>
      </w:r>
    </w:p>
    <w:p>
      <w:pPr>
        <w:pStyle w:val="Author"/>
      </w:pPr>
      <w:r>
        <w:rPr>
          <w:vertAlign w:val="superscript"/>
        </w:rPr>
        <w:t xml:space="preserve">1</w:t>
      </w:r>
      <w:r>
        <w:t xml:space="preserve">Religion Programme, University of Otago</w:t>
      </w:r>
    </w:p>
    <w:p>
      <w:pPr>
        <w:pStyle w:val="Author"/>
      </w:pPr>
      <w:r>
        <w:rPr>
          <w:vertAlign w:val="superscript"/>
        </w:rPr>
        <w:t xml:space="preserve">2</w:t>
      </w:r>
      <w:r>
        <w:t xml:space="preserve">School of Psychology, Speech and Hearing, University of Canterbury</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Management, Massey University</w:t>
      </w:r>
    </w:p>
    <w:p>
      <w:pPr>
        <w:pStyle w:val="Author"/>
      </w:pPr>
      <w:r>
        <w:rPr>
          <w:vertAlign w:val="superscript"/>
        </w:rPr>
        <w:t xml:space="preserve">5</w:t>
      </w:r>
      <w:r>
        <w:t xml:space="preserve">School of History, Philosophy, Political Science and International Relations, Victoria University of Wellington</w:t>
      </w:r>
    </w:p>
    <w:p>
      <w:pPr>
        <w:pStyle w:val="Author"/>
      </w:pPr>
      <w:r>
        <w:rPr>
          <w:vertAlign w:val="superscript"/>
        </w:rPr>
        <w:t xml:space="preserve">6</w:t>
      </w:r>
      <w:r>
        <w:t xml:space="preserve">Engineering and Architectural Studies, Ara Institute of Canterbury</w:t>
      </w:r>
    </w:p>
    <w:p>
      <w:pPr>
        <w:pStyle w:val="Author"/>
      </w:pPr>
      <w:r>
        <w:rPr>
          <w:vertAlign w:val="superscript"/>
        </w:rPr>
        <w:t xml:space="preserve">7</w:t>
      </w:r>
      <w:r>
        <w:t xml:space="preserve">The National Centre for Peace and Conflict Studies, University of Otago</w:t>
      </w:r>
    </w:p>
    <w:p>
      <w:pPr>
        <w:pStyle w:val="Author"/>
      </w:pPr>
      <w:r>
        <w:rPr>
          <w:vertAlign w:val="superscript"/>
        </w:rPr>
        <w:t xml:space="preserve">8</w:t>
      </w:r>
      <w:r>
        <w:t xml:space="preserve">Faculty of Law, Victoria University of Wellington</w:t>
      </w:r>
    </w:p>
    <w:p>
      <w:pPr>
        <w:pStyle w:val="Author"/>
      </w:pPr>
      <w:r>
        <w:rPr>
          <w:vertAlign w:val="superscript"/>
        </w:rPr>
        <w:t xml:space="preserve">9</w:t>
      </w:r>
      <w:r>
        <w:t xml:space="preserve">ICL Business School, New Zealand Skills and Education College</w:t>
      </w:r>
    </w:p>
    <w:p>
      <w:pPr>
        <w:pStyle w:val="Author"/>
      </w:pPr>
      <w:r>
        <w:rPr>
          <w:vertAlign w:val="superscript"/>
        </w:rPr>
        <w:t xml:space="preserve">10</w:t>
      </w:r>
      <w:r>
        <w:t xml:space="preserve">Independent Researcher</w:t>
      </w:r>
    </w:p>
    <w:p>
      <w:pPr>
        <w:pStyle w:val="Author"/>
      </w:pPr>
      <w:r>
        <w:rPr>
          <w:vertAlign w:val="superscript"/>
        </w:rPr>
        <w:t xml:space="preserve">11</w:t>
      </w:r>
      <w:r>
        <w:t xml:space="preserve">Department of Psychological Medicine, University of Otago Christchurch</w:t>
      </w:r>
    </w:p>
    <w:p>
      <w:pPr>
        <w:pStyle w:val="Author"/>
      </w:pPr>
      <w:r>
        <w:rPr>
          <w:vertAlign w:val="superscript"/>
        </w:rPr>
        <w:t xml:space="preserve">12</w:t>
      </w:r>
      <w:r>
        <w:t xml:space="preserve">School of Health Sciences, University of Canterbury</w:t>
      </w:r>
    </w:p>
    <w:p>
      <w:pPr>
        <w:pStyle w:val="Author"/>
      </w:pPr>
      <w:r>
        <w:rPr>
          <w:vertAlign w:val="superscript"/>
        </w:rPr>
        <w:t xml:space="preserve">13</w:t>
      </w:r>
      <w:r>
        <w:t xml:space="preserve">School of Language, Social &amp; Political Sciences, University of Canterbury</w:t>
      </w:r>
    </w:p>
    <w:p>
      <w:pPr>
        <w:pStyle w:val="Author"/>
      </w:pPr>
      <w:r>
        <w:rPr>
          <w:vertAlign w:val="superscript"/>
        </w:rPr>
        <w:t xml:space="preserve">14</w:t>
      </w:r>
      <w:r>
        <w:t xml:space="preserve">School of Management, Victoria University of Wellington</w:t>
      </w:r>
    </w:p>
    <w:p>
      <w:pPr>
        <w:pStyle w:val="Author"/>
      </w:pPr>
      <w:r>
        <w:rPr>
          <w:vertAlign w:val="superscript"/>
        </w:rPr>
        <w:t xml:space="preserve">15</w:t>
      </w:r>
      <w:r>
        <w:t xml:space="preserve">Department of History, Government College University, Faisalabad, Pakistan</w:t>
      </w:r>
    </w:p>
    <w:p>
      <w:pPr>
        <w:pStyle w:val="Author"/>
      </w:pPr>
      <w:r>
        <w:rPr>
          <w:vertAlign w:val="superscript"/>
        </w:rPr>
        <w:t xml:space="preserve">16</w:t>
      </w:r>
      <w:r>
        <w:t xml:space="preserve">PsychologyNZ</w:t>
      </w:r>
    </w:p>
    <w:p>
      <w:pPr>
        <w:pStyle w:val="Author"/>
      </w:pPr>
      <w:r>
        <w:rPr>
          <w:vertAlign w:val="superscript"/>
        </w:rPr>
        <w:t xml:space="preserve">17</w:t>
      </w:r>
      <w:r>
        <w:t xml:space="preserve">Department of Politics and International Relations, University of Auckland</w:t>
      </w:r>
    </w:p>
    <w:p>
      <w:pPr>
        <w:pStyle w:val="Author"/>
      </w:pPr>
      <w:r>
        <w:rPr>
          <w:vertAlign w:val="superscript"/>
        </w:rPr>
        <w:t xml:space="preserve">18</w:t>
      </w:r>
      <w:r>
        <w:t xml:space="preserve">School of Psychology, University of Auckland</w:t>
      </w:r>
    </w:p>
    <w:p>
      <w:pPr>
        <w:pStyle w:val="Author"/>
      </w:pPr>
      <w:r>
        <w:rPr>
          <w:vertAlign w:val="superscript"/>
        </w:rPr>
        <w:t xml:space="preserve">19</w:t>
      </w:r>
      <w:r>
        <w:t xml:space="preserve">School of Psychology, Victoria University of Wellington</w:t>
      </w:r>
    </w:p>
    <w:p>
      <w:pPr>
        <w:pStyle w:val="Author"/>
      </w:pPr>
      <w:r>
        <w:rPr>
          <w:vertAlign w:val="superscript"/>
        </w:rPr>
        <w:t xml:space="preserve">20</w:t>
      </w:r>
      <w:r>
        <w:t xml:space="preserve">Department of Linguistic and Cultural Evolution, Max Planck Institute for Evolutionary Anthropology</w:t>
      </w:r>
    </w:p>
    <w:p>
      <w:pPr>
        <w:pStyle w:val="Author"/>
      </w:pPr>
      <w:r>
        <w:rPr>
          <w:vertAlign w:val="superscript"/>
        </w:rPr>
        <w:t xml:space="preserve">21</w:t>
      </w:r>
      <w:r>
        <w:t xml:space="preserve">Just Community</w:t>
      </w:r>
    </w:p>
    <w:p>
      <w:pPr>
        <w:pStyle w:val="BodyText"/>
      </w:pPr>
      <w:r>
        <w:t xml:space="preserve"> </w:t>
      </w:r>
    </w:p>
    <w:p>
      <w:pPr>
        <w:pStyle w:val="BodyText"/>
      </w:pPr>
      <w:r>
        <w:t xml:space="preserve"> </w:t>
      </w:r>
    </w:p>
    <w:bookmarkEnd w:id="20"/>
    <w:bookmarkStart w:id="109"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Farah Shawkat</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http://orcid.org/0009-0006-0319-9117</w:t>
      </w:r>
    </w:p>
    <w:p>
      <w:pPr>
        <w:pStyle w:val="BodyText"/>
      </w:pPr>
      <w:r>
        <w:t xml:space="preserve">Fatima A. Junaid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http://orcid.org/0000-0002-6656-8120</w:t>
      </w:r>
    </w:p>
    <w:p>
      <w:pPr>
        <w:pStyle w:val="BodyText"/>
      </w:pPr>
      <w:r>
        <w:t xml:space="preserve">Ayca Arkilic</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http://orcid.org/0000-0002-1775-3311</w:t>
      </w:r>
    </w:p>
    <w:p>
      <w:pPr>
        <w:pStyle w:val="BodyText"/>
      </w:pPr>
      <w:r>
        <w:t xml:space="preserve">Mazharuddin Syed Ahmed</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http://orcid.org/0009-0006-9799-4049</w:t>
      </w:r>
    </w:p>
    <w:p>
      <w:pPr>
        <w:pStyle w:val="BodyText"/>
      </w:pPr>
      <w:r>
        <w:t xml:space="preserve">Hussain Raissi</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http://orcid.org/0009-0000-7985-1622</w:t>
      </w:r>
    </w:p>
    <w:p>
      <w:pPr>
        <w:pStyle w:val="BodyText"/>
      </w:pPr>
      <w:r>
        <w:t xml:space="preserve">Hala Burhoum</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http://orcid.org/0000-0000-0000-0001</w:t>
      </w:r>
    </w:p>
    <w:p>
      <w:pPr>
        <w:pStyle w:val="BodyText"/>
      </w:pPr>
      <w:r>
        <w:t xml:space="preserve">Tuba Azeem</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http://orcid.org/0000-0002-0611-8726</w:t>
      </w:r>
    </w:p>
    <w:p>
      <w:pPr>
        <w:pStyle w:val="BodyText"/>
      </w:pPr>
      <w:r>
        <w:t xml:space="preserve">Iman Husain</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http://orcid.org/0000-0003-4032-4387</w:t>
      </w:r>
    </w:p>
    <w:p>
      <w:pPr>
        <w:pStyle w:val="BodyText"/>
      </w:pPr>
      <w:r>
        <w:t xml:space="preserve">Zarqa Shaheen Ali</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http://orcid.org/0000-0002-7145-5788</w:t>
      </w:r>
    </w:p>
    <w:p>
      <w:pPr>
        <w:pStyle w:val="BodyText"/>
      </w:pPr>
      <w:r>
        <w:t xml:space="preserve">Zahra Haidary</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http://orcid.org/0009-0000-5259-622X</w:t>
      </w:r>
    </w:p>
    <w:p>
      <w:pPr>
        <w:pStyle w:val="BodyText"/>
      </w:pPr>
      <w:r>
        <w:t xml:space="preserve">Mashal Khan</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http://orcid.org/0009-0004-5903-3306</w:t>
      </w:r>
    </w:p>
    <w:p>
      <w:pPr>
        <w:pStyle w:val="BodyText"/>
      </w:pPr>
      <w:r>
        <w:t xml:space="preserve">Mai Tamimi</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http://orcid.org/0000-0000-0000-0000</w:t>
      </w:r>
    </w:p>
    <w:p>
      <w:pPr>
        <w:pStyle w:val="BodyText"/>
      </w:pPr>
      <w:r>
        <w:t xml:space="preserve">Nasratullah Hamid</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http://orcid.org/0009-0002-0120-7428</w:t>
      </w:r>
    </w:p>
    <w:p>
      <w:pPr>
        <w:pStyle w:val="BodyText"/>
      </w:pPr>
      <w:r>
        <w:t xml:space="preserve">Gul e Aqsa</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http://orcid.org/0009-0003-0928-8039</w:t>
      </w:r>
    </w:p>
    <w:p>
      <w:pPr>
        <w:pStyle w:val="BodyText"/>
      </w:pPr>
      <w:r>
        <w:t xml:space="preserve">Zahra Emamzadeh</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http://orcid.org/0009-0007-3065-2199</w:t>
      </w:r>
    </w:p>
    <w:p>
      <w:pPr>
        <w:pStyle w:val="BodyText"/>
      </w:pPr>
      <w:r>
        <w:t xml:space="preserve">Rizwan Sulehry</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http://orcid.org/0000-0002-1209-0635</w:t>
      </w:r>
    </w:p>
    <w:p>
      <w:pPr>
        <w:pStyle w:val="BodyText"/>
      </w:pPr>
      <w:r>
        <w:t xml:space="preserve">Somia Tasneem</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http://orcid.org/0000-0001-5471-6934</w:t>
      </w:r>
    </w:p>
    <w:p>
      <w:pPr>
        <w:pStyle w:val="BodyText"/>
      </w:pPr>
      <w:r>
        <w:t xml:space="preserve">Aamina Ali</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http://orcid.org/0009-0000-8153-8432</w:t>
      </w:r>
    </w:p>
    <w:p>
      <w:pPr>
        <w:pStyle w:val="BodyText"/>
      </w:pPr>
      <w:r>
        <w:t xml:space="preserve">Adepate Mustapha-Koiki</w:t>
      </w:r>
      <w:r>
        <w:t xml:space="preserve"> </w:t>
      </w:r>
      <w:bookmarkStart w:id="87" w:name="orchid"/>
      <w:r>
        <w:drawing>
          <wp:inline>
            <wp:extent cx="152279" cy="152279"/>
            <wp:effectExtent b="0" l="0" r="0" t="0"/>
            <wp:docPr descr="Orcid ID Logo: A green circle with white letters ID" title="" id="85" name="Picture"/>
            <a:graphic>
              <a:graphicData uri="http://schemas.openxmlformats.org/drawingml/2006/picture">
                <pic:pic>
                  <pic:nvPicPr>
                    <pic:cNvPr descr="_extensions/wjschne/apaquarto/ORCID-iD_icon-vecto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7"/>
      <w:r>
        <w:t xml:space="preserve"> </w:t>
      </w:r>
      <w:r>
        <w:t xml:space="preserve">http://orcid.org/0000-0003-4731-1781</w:t>
      </w:r>
    </w:p>
    <w:p>
      <w:pPr>
        <w:pStyle w:val="BodyText"/>
      </w:pPr>
      <w:r>
        <w:t xml:space="preserve">Afrah Ali</w:t>
      </w:r>
      <w:r>
        <w:t xml:space="preserve"> </w:t>
      </w:r>
      <w:bookmarkStart w:id="90" w:name="orchid"/>
      <w:r>
        <w:drawing>
          <wp:inline>
            <wp:extent cx="152279" cy="152279"/>
            <wp:effectExtent b="0" l="0" r="0" t="0"/>
            <wp:docPr descr="Orcid ID Logo: A green circle with white letters ID" title="" id="88" name="Picture"/>
            <a:graphic>
              <a:graphicData uri="http://schemas.openxmlformats.org/drawingml/2006/picture">
                <pic:pic>
                  <pic:nvPicPr>
                    <pic:cNvPr descr="_extensions/wjschne/apaquarto/ORCID-iD_icon-vector.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0"/>
      <w:r>
        <w:t xml:space="preserve"> </w:t>
      </w:r>
      <w:r>
        <w:t xml:space="preserve">http://orcid.org/0009-0004-5856-4025</w:t>
      </w:r>
    </w:p>
    <w:p>
      <w:pPr>
        <w:pStyle w:val="BodyText"/>
      </w:pPr>
      <w:r>
        <w:t xml:space="preserve">Sandila Tanveer</w:t>
      </w:r>
      <w:r>
        <w:t xml:space="preserve"> </w:t>
      </w:r>
      <w:bookmarkStart w:id="93" w:name="orchid"/>
      <w:r>
        <w:drawing>
          <wp:inline>
            <wp:extent cx="152279" cy="152279"/>
            <wp:effectExtent b="0" l="0" r="0" t="0"/>
            <wp:docPr descr="Orcid ID Logo: A green circle with white letters ID" title="" id="91" name="Picture"/>
            <a:graphic>
              <a:graphicData uri="http://schemas.openxmlformats.org/drawingml/2006/picture">
                <pic:pic>
                  <pic:nvPicPr>
                    <pic:cNvPr descr="_extensions/wjschne/apaquarto/ORCID-iD_icon-vector.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3"/>
      <w:r>
        <w:t xml:space="preserve"> </w:t>
      </w:r>
      <w:r>
        <w:t xml:space="preserve">http://orcid.org/0000-0002-0648-5382</w:t>
      </w:r>
    </w:p>
    <w:p>
      <w:pPr>
        <w:pStyle w:val="BodyText"/>
      </w:pPr>
      <w:r>
        <w:t xml:space="preserve">Kumar Yogeeswaran</w:t>
      </w:r>
      <w:r>
        <w:t xml:space="preserve"> </w:t>
      </w:r>
      <w:bookmarkStart w:id="96" w:name="orchid"/>
      <w:r>
        <w:drawing>
          <wp:inline>
            <wp:extent cx="152279" cy="152279"/>
            <wp:effectExtent b="0" l="0" r="0" t="0"/>
            <wp:docPr descr="Orcid ID Logo: A green circle with white letters ID" title="" id="94" name="Picture"/>
            <a:graphic>
              <a:graphicData uri="http://schemas.openxmlformats.org/drawingml/2006/picture">
                <pic:pic>
                  <pic:nvPicPr>
                    <pic:cNvPr descr="_extensions/wjschne/apaquarto/ORCID-iD_icon-vecto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6"/>
      <w:r>
        <w:t xml:space="preserve"> </w:t>
      </w:r>
      <w:r>
        <w:t xml:space="preserve">http://orcid.org/0000-0002-1978-5077</w:t>
      </w:r>
    </w:p>
    <w:p>
      <w:pPr>
        <w:pStyle w:val="BodyText"/>
      </w:pPr>
      <w:r>
        <w:t xml:space="preserve">Chris G. Sibley</w:t>
      </w:r>
      <w:r>
        <w:t xml:space="preserve"> </w:t>
      </w:r>
      <w:bookmarkStart w:id="99" w:name="orchid"/>
      <w:r>
        <w:drawing>
          <wp:inline>
            <wp:extent cx="152279" cy="152279"/>
            <wp:effectExtent b="0" l="0" r="0" t="0"/>
            <wp:docPr descr="Orcid ID Logo: A green circle with white letters ID" title="" id="97" name="Picture"/>
            <a:graphic>
              <a:graphicData uri="http://schemas.openxmlformats.org/drawingml/2006/picture">
                <pic:pic>
                  <pic:nvPicPr>
                    <pic:cNvPr descr="_extensions/wjschne/apaquarto/ORCID-iD_icon-vector.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9"/>
      <w:r>
        <w:t xml:space="preserve"> </w:t>
      </w:r>
      <w:r>
        <w:t xml:space="preserve">http://orcid.org/0000-0002-4064-8800</w:t>
      </w:r>
    </w:p>
    <w:p>
      <w:pPr>
        <w:pStyle w:val="BodyText"/>
      </w:pPr>
      <w:r>
        <w:t xml:space="preserve">Joseph A. Bulbulia</w:t>
      </w:r>
      <w:r>
        <w:t xml:space="preserve"> </w:t>
      </w:r>
      <w:bookmarkStart w:id="102" w:name="orchid"/>
      <w:r>
        <w:drawing>
          <wp:inline>
            <wp:extent cx="152279" cy="152279"/>
            <wp:effectExtent b="0" l="0" r="0" t="0"/>
            <wp:docPr descr="Orcid ID Logo: A green circle with white letters ID" title="" id="100" name="Picture"/>
            <a:graphic>
              <a:graphicData uri="http://schemas.openxmlformats.org/drawingml/2006/picture">
                <pic:pic>
                  <pic:nvPicPr>
                    <pic:cNvPr descr="_extensions/wjschne/apaquarto/ORCID-iD_icon-vector.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2"/>
      <w:r>
        <w:t xml:space="preserve"> </w:t>
      </w:r>
      <w:r>
        <w:t xml:space="preserve">http://orcid.org/0000-0002-5861-2056</w:t>
      </w:r>
    </w:p>
    <w:p>
      <w:pPr>
        <w:pStyle w:val="BodyText"/>
      </w:pPr>
      <w:r>
        <w:t xml:space="preserve">Aarif A. Rasheed</w:t>
      </w:r>
      <w:r>
        <w:t xml:space="preserve"> </w:t>
      </w:r>
      <w:bookmarkStart w:id="105" w:name="orchid"/>
      <w:r>
        <w:drawing>
          <wp:inline>
            <wp:extent cx="152279" cy="152279"/>
            <wp:effectExtent b="0" l="0" r="0" t="0"/>
            <wp:docPr descr="Orcid ID Logo: A green circle with white letters ID" title="" id="103" name="Picture"/>
            <a:graphic>
              <a:graphicData uri="http://schemas.openxmlformats.org/drawingml/2006/picture">
                <pic:pic>
                  <pic:nvPicPr>
                    <pic:cNvPr descr="_extensions/wjschne/apaquarto/ORCID-iD_icon-vecto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5"/>
      <w:r>
        <w:t xml:space="preserve"> </w:t>
      </w:r>
      <w:r>
        <w:t xml:space="preserve">http://orcid.org/0009-0004-7513-430X</w:t>
      </w:r>
    </w:p>
    <w:p>
      <w:pPr>
        <w:pStyle w:val="BodyText"/>
      </w:pPr>
      <w:r>
        <w:t xml:space="preserve">The hypotheses and data analysis plan for this study were preregistered at OSF</w:t>
      </w:r>
      <w:r>
        <w:t xml:space="preserve"> </w:t>
      </w:r>
      <w:hyperlink r:id="rId106">
        <w:r>
          <w:rPr>
            <w:rStyle w:val="Hyperlink"/>
          </w:rPr>
          <w:t xml:space="preserve">https://doi.org/10.17605/OSF.IO/B39XT</w:t>
        </w:r>
      </w:hyperlink>
      <w:r>
        <w:t xml:space="preserve">. The data described in this study are part of the Muslim Diversity Study, which is conducted under the</w:t>
      </w:r>
      <w:r>
        <w:t xml:space="preserve"> </w:t>
      </w:r>
      <w:hyperlink r:id="rId107">
        <w:r>
          <w:rPr>
            <w:rStyle w:val="Hyperlink"/>
          </w:rPr>
          <w:t xml:space="preserve">New Zealand Attitudes and Values Study</w:t>
        </w:r>
      </w:hyperlink>
      <w:r>
        <w:t xml:space="preserve">. The authors have no conflicts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108">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data curation, project administration, writing – original draft, and writing - review &amp; editing. </w:t>
      </w:r>
      <w:r>
        <w:rPr>
          <w:iCs/>
          <w:i/>
        </w:rPr>
        <w:t xml:space="preserve">Parus Khoso</w:t>
      </w:r>
      <w:r>
        <w:rPr>
          <w:bCs/>
          <w:b/>
        </w:rPr>
        <w:t xml:space="preserve">: </w:t>
      </w:r>
      <w:r>
        <w:t xml:space="preserve">data curation, formal analysis, writing - original draft (pilot community consultation),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Ayca Arkilic</w:t>
      </w:r>
      <w:r>
        <w:rPr>
          <w:bCs/>
          <w:b/>
        </w:rPr>
        <w:t xml:space="preserve">: </w:t>
      </w:r>
      <w:r>
        <w:t xml:space="preserve">writing - original draft (introduction) and writing - review &amp; editing. </w:t>
      </w:r>
      <w:r>
        <w:rPr>
          <w:iCs/>
          <w:i/>
        </w:rPr>
        <w:t xml:space="preserve">Mazharuddin Syed Ahmed</w:t>
      </w:r>
      <w:r>
        <w:rPr>
          <w:bCs/>
          <w:b/>
        </w:rPr>
        <w:t xml:space="preserve">: </w:t>
      </w:r>
      <w:r>
        <w:t xml:space="preserve">data curation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Hala Burhoum</w:t>
      </w:r>
      <w:r>
        <w:rPr>
          <w:bCs/>
          <w:b/>
        </w:rPr>
        <w:t xml:space="preserve">: </w:t>
      </w:r>
      <w:r>
        <w:t xml:space="preserve">data curation, writing - original draft (method), and writing - review &amp; editing. </w:t>
      </w:r>
      <w:r>
        <w:rPr>
          <w:iCs/>
          <w:i/>
        </w:rPr>
        <w:t xml:space="preserve">Tuba Azeem</w:t>
      </w:r>
      <w:r>
        <w:rPr>
          <w:bCs/>
          <w:b/>
        </w:rPr>
        <w:t xml:space="preserve">: </w:t>
      </w:r>
      <w:r>
        <w:t xml:space="preserve">data curation and writing - review &amp; editing. </w:t>
      </w:r>
      <w:r>
        <w:rPr>
          <w:iCs/>
          <w:i/>
        </w:rPr>
        <w:t xml:space="preserve">Iman Husain</w:t>
      </w:r>
      <w:r>
        <w:rPr>
          <w:bCs/>
          <w:b/>
        </w:rPr>
        <w:t xml:space="preserve">: </w:t>
      </w:r>
      <w:r>
        <w:t xml:space="preserve">data curation, writing - original draft (method), and writing - review &amp; editing. </w:t>
      </w:r>
      <w:r>
        <w:rPr>
          <w:iCs/>
          <w:i/>
        </w:rPr>
        <w:t xml:space="preserve">Zarqa Shaheen Ali</w:t>
      </w:r>
      <w:r>
        <w:rPr>
          <w:bCs/>
          <w:b/>
        </w:rPr>
        <w:t xml:space="preserve">: </w:t>
      </w:r>
      <w:r>
        <w:t xml:space="preserve">data curation, writing - original draft (method),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Mashal Khan</w:t>
      </w:r>
      <w:r>
        <w:rPr>
          <w:bCs/>
          <w:b/>
        </w:rPr>
        <w:t xml:space="preserve">: </w:t>
      </w:r>
      <w:r>
        <w:t xml:space="preserve">data curation, writing - original draft (method), and writing - review &amp; editing. </w:t>
      </w:r>
      <w:r>
        <w:rPr>
          <w:iCs/>
          <w:i/>
        </w:rPr>
        <w:t xml:space="preserve">Mai Tamimi</w:t>
      </w:r>
      <w:r>
        <w:rPr>
          <w:bCs/>
          <w:b/>
        </w:rPr>
        <w:t xml:space="preserve">: </w:t>
      </w:r>
      <w:r>
        <w:t xml:space="preserve">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Gul e Aqsa</w:t>
      </w:r>
      <w:r>
        <w:rPr>
          <w:bCs/>
          <w:b/>
        </w:rPr>
        <w:t xml:space="preserve">: </w:t>
      </w:r>
      <w:r>
        <w:t xml:space="preserve">data curation and writing - review &amp; editing. </w:t>
      </w:r>
      <w:r>
        <w:rPr>
          <w:iCs/>
          <w:i/>
        </w:rPr>
        <w:t xml:space="preserve">Zahra Emamzadeh</w:t>
      </w:r>
      <w:r>
        <w:rPr>
          <w:bCs/>
          <w:b/>
        </w:rPr>
        <w:t xml:space="preserve">: </w:t>
      </w:r>
      <w:r>
        <w:t xml:space="preserve">writing - original draft (strengths &amp; limitations)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Aamina Ali</w:t>
      </w:r>
      <w:r>
        <w:rPr>
          <w:bCs/>
          <w:b/>
        </w:rPr>
        <w:t xml:space="preserve">: </w:t>
      </w:r>
      <w:r>
        <w:t xml:space="preserve">writing - original draft (applications &amp; implications)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Afrah Ali</w:t>
      </w:r>
      <w:r>
        <w:rPr>
          <w:bCs/>
          <w:b/>
        </w:rPr>
        <w:t xml:space="preserve">: </w:t>
      </w:r>
      <w:r>
        <w:t xml:space="preserve">writing - review &amp; editing. </w:t>
      </w:r>
      <w:r>
        <w:rPr>
          <w:iCs/>
          <w:i/>
        </w:rPr>
        <w:t xml:space="preserve">Sandila Tanveer</w:t>
      </w:r>
      <w:r>
        <w:rPr>
          <w:bCs/>
          <w:b/>
        </w:rPr>
        <w:t xml:space="preserve">: </w:t>
      </w:r>
      <w:r>
        <w:t xml:space="preserve">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 </w:t>
      </w:r>
      <w:r>
        <w:rPr>
          <w:iCs/>
          <w:i/>
        </w:rPr>
        <w:t xml:space="preserve">Aarif A. Rasheed</w:t>
      </w:r>
      <w:r>
        <w:rPr>
          <w:bCs/>
          <w:b/>
        </w:rPr>
        <w:t xml:space="preserve">: </w:t>
      </w:r>
      <w:r>
        <w:t xml:space="preserve">conceptualisation, data curation, funding acquisition, resources, and writing - review &amp; editing</w:t>
      </w:r>
    </w:p>
    <w:p>
      <w:pPr>
        <w:pStyle w:val="BodyText"/>
      </w:pPr>
      <w:r>
        <w:t xml:space="preserve">Correspondence concerning this article should be addressed to M. Usman Afzali, Religion Programme, University of Otago, 362 Leith Street, Dunedin, Otago 9016, New Zealand, Email: usman.afzali@otago.ac.nz</w:t>
      </w:r>
    </w:p>
    <w:p>
      <w:r>
        <w:br w:type="page"/>
      </w:r>
    </w:p>
    <w:bookmarkEnd w:id="109"/>
    <w:bookmarkStart w:id="110" w:name="abstract"/>
    <w:p>
      <w:pPr>
        <w:pStyle w:val="Heading1"/>
      </w:pPr>
      <w:r>
        <w:t xml:space="preserve">Abstract</w:t>
      </w:r>
    </w:p>
    <w:p>
      <w:pPr>
        <w:pStyle w:val="AbstractFirstParagraph"/>
      </w:pPr>
      <w:r>
        <w:t xml:space="preserve">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w:t>
      </w:r>
    </w:p>
    <w:p>
      <w:pPr>
        <w:pStyle w:val="BodyText"/>
      </w:pPr>
      <w:r>
        <w:rPr>
          <w:iCs/>
          <w:i/>
        </w:rPr>
        <w:t xml:space="preserve">Keywords</w:t>
      </w:r>
      <w:r>
        <w:t xml:space="preserve">: Muslims, diversity, New Zealand, Muslim Diversity Study (MDS), New Zealand Attitudes and Values Study (MDS)</w:t>
      </w:r>
    </w:p>
    <w:p>
      <w:r>
        <w:br w:type="page"/>
      </w:r>
    </w:p>
    <w:bookmarkEnd w:id="110"/>
    <w:bookmarkStart w:id="117" w:name="firstheader"/>
    <w:p>
      <w:pPr>
        <w:pStyle w:val="Heading1"/>
      </w:pPr>
      <w:r>
        <w:t xml:space="preserve">Muslim Diversity Study: Quantitative protocol and practical insights on engaging New Zealand’s Muslim communities</w:t>
      </w:r>
    </w:p>
    <w:p>
      <w:pPr>
        <w:pStyle w:val="FirstParagraph"/>
      </w:pPr>
      <w:r>
        <w:t xml:space="preserve">On 15 March 2019, a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was widely condemned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w:t>
      </w:r>
      <w:r>
        <w:t xml:space="preserve">due to Muslims’ widespread experience of Islamophobia and prejudice in the country</w:t>
      </w:r>
      <w:r>
        <w:t xml:space="preserve"> </w:t>
      </w:r>
      <w:r>
        <w:t xml:space="preserve">(</w:t>
      </w:r>
      <w:hyperlink w:anchor="ref-sibley2020">
        <w:r>
          <w:rPr>
            <w:rStyle w:val="Hyperlink"/>
          </w:rPr>
          <w:t xml:space="preserve">Sibley et al., 2020</w:t>
        </w:r>
      </w:hyperlink>
      <w:r>
        <w:t xml:space="preserve">)</w:t>
      </w:r>
      <w:r>
        <w:t xml:space="preserve">. Even as Islamophobia has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the evidence in New Zealand seems to be mixed. While news articles have reported increased hate towards Muslims</w:t>
      </w:r>
      <w:r>
        <w:t xml:space="preserve"> </w:t>
      </w:r>
      <w:r>
        <w:t xml:space="preserve">(</w:t>
      </w:r>
      <w:hyperlink w:anchor="ref-frykberg2023">
        <w:r>
          <w:rPr>
            <w:rStyle w:val="Hyperlink"/>
          </w:rPr>
          <w:t xml:space="preserve">Frykberg, 2023</w:t>
        </w:r>
      </w:hyperlink>
      <w:r>
        <w:t xml:space="preserve">)</w:t>
      </w:r>
      <w:r>
        <w:t xml:space="preserve">, the New Zealand Attitudes and Values Study (NZAVS) findings were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the attacks. Addressing this discrepancy is beyond the scope of the current article; however, it is worth noting that most of our research in this area, primarily through the NZAVS</w:t>
      </w:r>
      <w:r>
        <w:t xml:space="preserve"> </w:t>
      </w:r>
      <w:r>
        <w:t xml:space="preserve">(</w:t>
      </w:r>
      <w:hyperlink w:anchor="ref-sibley2024">
        <w:r>
          <w:rPr>
            <w:rStyle w:val="Hyperlink"/>
          </w:rPr>
          <w:t xml:space="preserve">Sibley, 2024</w:t>
        </w:r>
      </w:hyperlink>
      <w:r>
        <w:t xml:space="preserve">)</w:t>
      </w:r>
      <w:r>
        <w:t xml:space="preserve"> </w:t>
      </w:r>
      <w:r>
        <w:t xml:space="preserve">lens, has so far shed light on such attitudes from a non-Muslim perspective. In other words, we have mostly reported on how Muslims are perceived by non-Muslim members of New Zealand society, rather than how Muslims perceive themselves. While the published NZAVS reports are an absolute necessity, the self-experience of Muslims themselves as the direct victims of this heinous crime is equally important.</w:t>
      </w:r>
    </w:p>
    <w:p>
      <w:pPr>
        <w:pStyle w:val="BodyText"/>
      </w:pPr>
      <w:r>
        <w:t xml:space="preserve">The current article has two major goals. Firstly, it elaborates on the protocol of pioneering a three-year longitudinal study titled the Muslim Diversity Study (MDS) poised to achieve this very goal – examining Muslims’ self-perception in New Zealand from a variety of angles, as well as, the predictors of resilience, flourishing, and wellbeing within Muslims. The study started in 2023 and is planned to conclude in 2026. The goal is to achieve as many as 650 Muslim respondents.</w:t>
      </w:r>
    </w:p>
    <w:p>
      <w:pPr>
        <w:pStyle w:val="BodyText"/>
      </w:pPr>
      <w:r>
        <w:t xml:space="preserve">Secondly, MDS was co-designed with the members of the New Zealand Muslim community. This consultation continued during the first year of data collection. We are aiming to lay out the context of MDS by explicitly explaining the processes before and during the project and how we used community and MDS team feedback to enhance data collection. We believe this article would provide a comprehensive guideline for working with the Muslim community in Western countries.</w:t>
      </w:r>
    </w:p>
    <w:bookmarkStart w:id="111" w:name="introduction"/>
    <w:p>
      <w:pPr>
        <w:pStyle w:val="Heading2"/>
      </w:pPr>
      <w:r>
        <w:t xml:space="preserve">Introduction</w:t>
      </w:r>
    </w:p>
    <w:p>
      <w:pPr>
        <w:pStyle w:val="FirstParagraph"/>
      </w:pPr>
      <w:r>
        <w:t xml:space="preserve">The Muslim community has been expanding in New Zealand. Based on the 2018 census, New Zealand has more than 60,000 Muslims which has grown to over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increased after the 2019 terror attack</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 growing religious minority and a historically stigmatised group that was the direct target of the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Muslim Diversity Study (MDS) — officially known as</w:t>
      </w:r>
      <w:r>
        <w:t xml:space="preserve"> </w:t>
      </w:r>
      <w:r>
        <w:rPr>
          <w:iCs/>
          <w:i/>
        </w:rPr>
        <w:t xml:space="preserve">A national longitudinal study of Muslim diversity and flourishing</w:t>
      </w:r>
      <w:r>
        <w:t xml:space="preserve"> </w:t>
      </w:r>
      <w:r>
        <w:t xml:space="preserve">— 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 study protocol so that our findings are shared with the broader public and future researchers in New Zealand and across the globe can benefit from our outputs.</w:t>
      </w:r>
    </w:p>
    <w:p>
      <w:pPr>
        <w:pStyle w:val="BodyText"/>
      </w:pPr>
      <w:r>
        <w:t xml:space="preserve">The protocol addresses MDS’ pilot community consultation, the decisions made and modified based on the consultation, community engagement, data collection, the teams involved, measures used, and proposed data analysis plan. Learning from this, a comprehensive guideline is presented addressing enablers and challenges of data collection from Muslims. To set the rationale for MDS, it is important to briefly overview the attitudes towards Muslims in New Zealand.</w:t>
      </w:r>
    </w:p>
    <w:bookmarkEnd w:id="111"/>
    <w:bookmarkStart w:id="112" w:name="the-need-for-muslim-diversity-study"/>
    <w:p>
      <w:pPr>
        <w:pStyle w:val="Heading2"/>
      </w:pPr>
      <w:r>
        <w:t xml:space="preserve">The need for Muslim Diversity Study</w:t>
      </w:r>
    </w:p>
    <w:p>
      <w:pPr>
        <w:pStyle w:val="FirstParagraph"/>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New Zealand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emphasising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the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towards Muslims have improved in New Zealand. The New Zealand Attitudes and Values Study (NZAVS), in a series of articles, reported this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the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about Muslims and with Muslims, who so far had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at NZAVS we had explored perceptions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a timely necessity that we expanded our reach further.</w:t>
      </w:r>
    </w:p>
    <w:p>
      <w:pPr>
        <w:pStyle w:val="BodyText"/>
      </w:pPr>
      <w:r>
        <w:t xml:space="preserve">The NZAVS is a planned 20-year-long longitudinal national probability annual panel study of social attitudes, personality, ideology and health outcomes that began in 2009 and is currently in its 15th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(over 150 peer-reviewed publications), longitudinal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us to compare data from different identity groups. However, the Muslim sample in NZAVS had been less than 100</w:t>
      </w:r>
      <w:r>
        <w:t xml:space="preserve"> </w:t>
      </w:r>
      <w:r>
        <w:t xml:space="preserve">(</w:t>
      </w:r>
      <w:hyperlink w:anchor="ref-sibley2024">
        <w:r>
          <w:rPr>
            <w:rStyle w:val="Hyperlink"/>
          </w:rPr>
          <w:t xml:space="preserve">Sibley, 2024</w:t>
        </w:r>
      </w:hyperlink>
      <w:r>
        <w:t xml:space="preserve">)</w:t>
      </w:r>
      <w:r>
        <w:t xml:space="preserve">, which did not allow us to make meaningful inferences regarding Muslim lives and issues in comparison with other religious groups. Hence, it was justified to collect more data from Muslims in New Zealand.</w:t>
      </w:r>
    </w:p>
    <w:p>
      <w:pPr>
        <w:pStyle w:val="BodyText"/>
      </w:pPr>
      <w:r>
        <w:t xml:space="preserve">In addition, much of the NZAVS work to date with the Muslim community had focused on conveying information about how Muslims are perceived by the non-Muslim members of New Zealand society. After receiving strong positive suggestions from the Muslim community to scientifically explore diversity, discrimination, self-perception, resilience, meaning-making and flourishing, this three-year longitudinal study was conceived in 2022 to address this scholarly and community knowledge gap. Therefore, MDS is effectively a booster to NZAVS, and uses the NZAVS questionnaires to collect data from the members of Muslim community in New Zealand.</w:t>
      </w:r>
    </w:p>
    <w:p>
      <w:pPr>
        <w:pStyle w:val="BodyText"/>
      </w:pPr>
      <w:r>
        <w:t xml:space="preserve">We aim to explore the diversity of Muslims in New Zealand, assess Muslims’ perceived discrimination in comparison with other religious groups, unearth predictors of their flourishing and meaning-making, and measure the effect of service-attendance and religious-identification on these constructs.</w:t>
      </w:r>
    </w:p>
    <w:p>
      <w:pPr>
        <w:pStyle w:val="BodyText"/>
      </w:pPr>
      <w:r>
        <w:t xml:space="preserve">The co-design of MDS with Muslim community initiated with community consultation as detailed below.</w:t>
      </w:r>
    </w:p>
    <w:bookmarkEnd w:id="112"/>
    <w:bookmarkStart w:id="113" w:name="co-designing-mds-community-consultation"/>
    <w:p>
      <w:pPr>
        <w:pStyle w:val="Heading2"/>
      </w:pPr>
      <w:r>
        <w:t xml:space="preserve">Co-designing MDS: Community consultation</w:t>
      </w:r>
    </w:p>
    <w:p>
      <w:pPr>
        <w:pStyle w:val="FirstParagraph"/>
      </w:pPr>
      <w:r>
        <w:t xml:space="preserve">Prior to applying for the research grant, we deemed it necessary to consult with the Muslim community to gauge interest in the project, and the feasibility of the project for the community. More importantly, inferring from the culturally-focused research groups, it was important to co-design the project with Muslims by consulting with the academics and leaders of the Muslim community. Therefore, we started engaging with the Muslim community in February, 2022 — one year before the start of the project — to co-design the project.</w:t>
      </w:r>
    </w:p>
    <w:p>
      <w:pPr>
        <w:pStyle w:val="BodyText"/>
      </w:pPr>
      <w:r>
        <w:t xml:space="preserve">This consultation continued until November, 2022 where the principal investigator (MUA) reached out to 29 Muslims in six cities, Auckland, Hamilton, Palmerston North, Wellington, Christchurch, and Dunedin, from various age groups, genders, and cultural backgrounds. Twenty of these conversations took place with community leaders, religious scholars, academics, and cultural organisation leaders, while 9 conversation took place with individual activists. The conversations were focused around four objectives: 1) To assess the feasibility of the project for Muslims, 2) To assess the interest of Muslims in the project, 3) To get feedback on the survey items, design, and working with the community, and 4) To inquire if translation of the questionnaire may be needed. The consultation revealed unanimous agreement among respondents regarding the study’s feasibility and timeliness for the Muslim community, with expectations of strong interest in participation. The respondents indicated that the highest engagement would likely come from youth groups, subsequent-generation migrants, those with formal education, and female participants. Furthermore, the respondents not only endorsed the significance of the study and its planned measures but also pledged their comprehensive support for the initiative.</w:t>
      </w:r>
    </w:p>
    <w:p>
      <w:pPr>
        <w:pStyle w:val="BodyText"/>
      </w:pPr>
      <w:r>
        <w:t xml:space="preserve">A few challenges were also identified with regards to the execution of the study: 1) The participation from Christchurch might not be up to the anticipated levels as after the Christchurch shooting, people were frequently surveyed and not provided with the findings, which might affect their interest to participate in the study. 2) It might not be easy for all prospective participants to understand the questionnaires due to the community’s unfamiliarity with research and limitations with fluency in English. 3) The participation from the elderly community (due to unfamiliarity with research) and Muslim converts (due to distrust of the institutions) might also be low. 4) Community members might be suspicious and consider the study to have ulterior or personal motives. Similar challenges have been identified by other researchers who have worked with the Muslim community in New Zealand</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The following recommendations on mitigating these challenges were received upon completing the consultation: 1) To encourage more participation from the Muslim community, findings should be shared with the wider community in future owing to the diversity it will present. To be able to share the research findings with the community smoothly and keep them up-to-date, it was recommended to have a dedicated website for the study. Therefore, instead of calling it a booster to NZAVS, the project was named Muslim Diversity Study, and a website of the same name was created. 2) Although many said that the questionnaire needs to be translated into seven ethnic languages in connection to reducing the difficulty in reaching the diverse members of the community for the study, they also indicated that a majority of the potential participants could comprehend the English version easily. 3) It was proposed that we should reach out to the community via trusted community leaders/members, ethnic and religious organisations, and mosques, and that for youth engagement, we should go via youth organisations such as Muslim Student Associations (MSAs) at universities. A family-focused strategy was advised to be beneficial as starting with the men was implied to be more effective. 4) To assuage the possible distrust around the motives of the study, the participants must be clearly informed about the study’s rationale and its benefits to the community, reiterating that it will increase Muslims’ visibility and raise their voice in research. The long-term value of the study for the community as a whole as well as their children should also be emphasised.</w:t>
      </w:r>
    </w:p>
    <w:p>
      <w:pPr>
        <w:pStyle w:val="BodyText"/>
      </w:pPr>
      <w:r>
        <w:t xml:space="preserve">This process led to developing a comprehensive guideline that addresses feasibility, advice on engagement with the community, the possible challenges, and avenues to enhance participation. The 29 participants of this pilot consultation form the Advisory Group of MDS and are being regularly consulted.</w:t>
      </w:r>
    </w:p>
    <w:bookmarkEnd w:id="113"/>
    <w:bookmarkStart w:id="114" w:name="translation"/>
    <w:p>
      <w:pPr>
        <w:pStyle w:val="Heading2"/>
      </w:pPr>
      <w:r>
        <w:t xml:space="preserve">Translation</w:t>
      </w:r>
    </w:p>
    <w:p>
      <w:pPr>
        <w:pStyle w:val="FirstParagraph"/>
      </w:pPr>
      <w:r>
        <w:t xml:space="preserve">Our consultation with the community revealed that the need for translation of the questionnaire may be limited to a small subset of New Zealand Muslims, as the majority are expected to be proficient in English. This finding aligns with the research conducted by the March 15 Project team</w:t>
      </w:r>
      <w:r>
        <w:t xml:space="preserve"> </w:t>
      </w:r>
      <w:r>
        <w:t xml:space="preserve">(</w:t>
      </w:r>
      <w:hyperlink w:anchor="ref-sulaiman-hill2021">
        <w:r>
          <w:rPr>
            <w:rStyle w:val="Hyperlink"/>
          </w:rPr>
          <w:t xml:space="preserve">Sulaiman-Hill et al., 2021</w:t>
        </w:r>
      </w:hyperlink>
      <w:r>
        <w:t xml:space="preserve">)</w:t>
      </w:r>
      <w:r>
        <w:t xml:space="preserve">. Their study found that 71% of participants preferred English for surveys and clinical interviews</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A critical component of the Muslim Diversity Study (MDS) is the comparison of Muslim scores on the New Zealand Attitudes and Values Study (NZAVS) with those of other religious groups. The introduction of a translated questionnaire poses the risk of not capturing attitudes and behaviors with the same accuracy as the English version. Consequently, any observed differences in scores between Muslims and other groups could be attributed to translation bias rather than genuine differences in religious affiliation.</w:t>
      </w:r>
    </w:p>
    <w:p>
      <w:pPr>
        <w:pStyle w:val="BodyText"/>
      </w:pPr>
      <w:r>
        <w:t xml:space="preserve">This concern was presented to the Advisory Group, which recommended against translating the questionnaire. Instead, it was advised to provide the English version to all potential Muslim participants. This approach offers a methodological safeguard, ensuring that the conceptual meanings are preserved and not distorted by translation. By maintaining the integrity of the questionnaire, we can be more confident in the validity of the comparative analyses between religious groups.</w:t>
      </w:r>
    </w:p>
    <w:bookmarkEnd w:id="114"/>
    <w:bookmarkStart w:id="115" w:name="Xdad6e2e8bb42f0bb4e485139e31767c37ff7c86"/>
    <w:p>
      <w:pPr>
        <w:pStyle w:val="Heading2"/>
      </w:pPr>
      <w:r>
        <w:t xml:space="preserve">Item retention and religious Context Considerations</w:t>
      </w:r>
    </w:p>
    <w:p>
      <w:pPr>
        <w:pStyle w:val="FirstParagraph"/>
      </w:pPr>
      <w:r>
        <w:t xml:space="preserve">The consultation process with the MDS Advisory Group identified six items in the New NZAVS questionnaire that could potentially appear irrelevant to Muslim participants, given the questionnaire’s original development within a predominantly Christian context. Despite these potential concerns, a substantial majority of the Advisory Group (81% average across all six items) recommended retaining these items to enable meaningful cross-religious comparisons in the analysis.</w:t>
      </w:r>
    </w:p>
    <w:p>
      <w:pPr>
        <w:pStyle w:val="BodyText"/>
      </w:pPr>
      <w:r>
        <w:t xml:space="preserve">To address potential participant concerns about item relevance, we included in the survey instructions: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 </w:t>
      </w:r>
      <w:r>
        <w:t xml:space="preserve">This approach maintains methodological consistency while acknowledging and accommodating the diverse religious perspectives of participants.</w:t>
      </w:r>
    </w:p>
    <w:bookmarkEnd w:id="115"/>
    <w:bookmarkStart w:id="116" w:name="study-aims"/>
    <w:p>
      <w:pPr>
        <w:pStyle w:val="Heading2"/>
      </w:pPr>
      <w:r>
        <w:t xml:space="preserve">Study aims</w:t>
      </w:r>
    </w:p>
    <w:p>
      <w:pPr>
        <w:pStyle w:val="FirstParagraph"/>
      </w:pPr>
      <w:r>
        <w:t xml:space="preserve">This study aims to investigate the role of religious community engagement in buffering Muslims against anti-Muslim prejudice, to examine the employment and health challenges faced by Muslims relative to other religious groups, and to explore the similarities in subjective wellbeing and psychological distress across religious affiliations, emphasizing the protective effects of community support and religious community-making. This comprehensive approach enables the examination of both direct relationships and complex mediating pathways between religious community engagement, experienced prejudice, employment and health outcomes, and psychological wellbeing. Through this multi-faceted investigation, the study seeks to contribute to our understanding of the Muslim experience in New Zealand and the role of religious community support in promoting positive outcomes across various life domains.</w:t>
      </w:r>
    </w:p>
    <w:bookmarkEnd w:id="116"/>
    <w:bookmarkEnd w:id="117"/>
    <w:bookmarkStart w:id="156" w:name="method"/>
    <w:p>
      <w:pPr>
        <w:pStyle w:val="Heading1"/>
      </w:pPr>
      <w:r>
        <w:t xml:space="preserve">Method</w:t>
      </w:r>
    </w:p>
    <w:bookmarkStart w:id="118" w:name="sample-size-estimation-and-participants"/>
    <w:p>
      <w:pPr>
        <w:pStyle w:val="Heading2"/>
      </w:pPr>
      <w:r>
        <w:t xml:space="preserve">Sample size estimation and participants</w:t>
      </w:r>
    </w:p>
    <w:p>
      <w:pPr>
        <w:pStyle w:val="FirstParagraph"/>
      </w:pPr>
      <w:r>
        <w:t xml:space="preserve">The NZAVS sample of Muslim cohort was less than 100</w:t>
      </w:r>
      <w:r>
        <w:t xml:space="preserve"> </w:t>
      </w:r>
      <w:r>
        <w:t xml:space="preserve">(</w:t>
      </w:r>
      <w:hyperlink w:anchor="ref-sibley2024">
        <w:r>
          <w:rPr>
            <w:rStyle w:val="Hyperlink"/>
          </w:rPr>
          <w:t xml:space="preserve">Sibley, 2024</w:t>
        </w:r>
      </w:hyperlink>
      <w:r>
        <w:t xml:space="preserve">)</w:t>
      </w:r>
      <w:r>
        <w:t xml:space="preserve">. To enhance the representation of Muslims in NZAVS, we aim to recruit an additional 650 participants, aligning with the study’s proportional sampling methodology for the general population. This target corresponds to about 1.3% of New Zealand’s Muslim population based on the 2018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Notably, the 2023 Census that took place after the the starts of MDS shows an increased number of Muslims in New Zealand (75,138)</w:t>
      </w:r>
      <w:r>
        <w:t xml:space="preserve"> </w:t>
      </w:r>
      <w:r>
        <w:t xml:space="preserve">(</w:t>
      </w:r>
      <w:hyperlink w:anchor="ref-religi2024">
        <w:r>
          <w:rPr>
            <w:rStyle w:val="Hyperlink"/>
            <w:iCs/>
            <w:i/>
          </w:rPr>
          <w:t xml:space="preserve">2023</w:t>
        </w:r>
        <w:r>
          <w:rPr>
            <w:rStyle w:val="Hyperlink"/>
            <w:iCs/>
            <w:i/>
          </w:rPr>
          <w:t xml:space="preserve"> </w:t>
        </w:r>
        <w:r>
          <w:rPr>
            <w:rStyle w:val="Hyperlink"/>
            <w:iCs/>
            <w:i/>
          </w:rPr>
          <w:t xml:space="preserve">C</w:t>
        </w:r>
        <w:r>
          <w:rPr>
            <w:rStyle w:val="Hyperlink"/>
            <w:iCs/>
            <w:i/>
          </w:rPr>
          <w:t xml:space="preserve">ensus</w:t>
        </w:r>
        <w:r>
          <w:rPr>
            <w:rStyle w:val="Hyperlink"/>
            <w:iCs/>
            <w:i/>
          </w:rPr>
          <w:t xml:space="preserve"> </w:t>
        </w:r>
        <w:r>
          <w:rPr>
            <w:rStyle w:val="Hyperlink"/>
            <w:iCs/>
            <w:i/>
          </w:rPr>
          <w:t xml:space="preserve">P</w:t>
        </w:r>
        <w:r>
          <w:rPr>
            <w:rStyle w:val="Hyperlink"/>
            <w:iCs/>
            <w:i/>
          </w:rPr>
          <w:t xml:space="preserve">opulation,</w:t>
        </w:r>
        <w:r>
          <w:rPr>
            <w:rStyle w:val="Hyperlink"/>
            <w:iCs/>
            <w:i/>
          </w:rPr>
          <w:t xml:space="preserve"> </w:t>
        </w:r>
        <w:r>
          <w:rPr>
            <w:rStyle w:val="Hyperlink"/>
            <w:iCs/>
            <w:i/>
          </w:rPr>
          <w:t xml:space="preserve">D</w:t>
        </w:r>
        <w:r>
          <w:rPr>
            <w:rStyle w:val="Hyperlink"/>
            <w:iCs/>
            <w:i/>
          </w:rPr>
          <w:t xml:space="preserve">welling, and</w:t>
        </w:r>
        <w:r>
          <w:rPr>
            <w:rStyle w:val="Hyperlink"/>
            <w:iCs/>
            <w:i/>
          </w:rPr>
          <w:t xml:space="preserve"> </w:t>
        </w:r>
        <w:r>
          <w:rPr>
            <w:rStyle w:val="Hyperlink"/>
            <w:iCs/>
            <w:i/>
          </w:rPr>
          <w:t xml:space="preserve">H</w:t>
        </w:r>
        <w:r>
          <w:rPr>
            <w:rStyle w:val="Hyperlink"/>
            <w:iCs/>
            <w:i/>
          </w:rPr>
          <w:t xml:space="preserve">ousing</w:t>
        </w:r>
        <w:r>
          <w:rPr>
            <w:rStyle w:val="Hyperlink"/>
            <w:iCs/>
            <w:i/>
          </w:rPr>
          <w:t xml:space="preserve"> </w:t>
        </w:r>
        <w:r>
          <w:rPr>
            <w:rStyle w:val="Hyperlink"/>
            <w:iCs/>
            <w:i/>
          </w:rPr>
          <w:t xml:space="preserve">H</w:t>
        </w:r>
        <w:r>
          <w:rPr>
            <w:rStyle w:val="Hyperlink"/>
            <w:iCs/>
            <w:i/>
          </w:rPr>
          <w:t xml:space="preserve">ighlights</w:t>
        </w:r>
        <w:r>
          <w:rPr>
            <w:rStyle w:val="Hyperlink"/>
          </w:rPr>
          <w:t xml:space="preserve">, 2024</w:t>
        </w:r>
      </w:hyperlink>
      <w:r>
        <w:t xml:space="preserve">)</w:t>
      </w:r>
      <w:r>
        <w:t xml:space="preserve">. Data collection was concentrated in six major urban centers—Auckland, Christchurch, Hamilton, Wellington, Palmerston North, and Dunedin—each with a Muslim population of at least 1,000 (see</w:t>
      </w:r>
      <w:r>
        <w:t xml:space="preserve"> </w:t>
      </w:r>
      <w:hyperlink w:anchor="tbl-muslim-population">
        <w:r>
          <w:rPr>
            <w:rStyle w:val="Hyperlink"/>
          </w:rPr>
          <w:t xml:space="preserve">Table 1</w:t>
        </w:r>
      </w:hyperlink>
      <w:r>
        <w:t xml:space="preserve">). Participants were eligible if they self-identify as Muslim, were 18 years or older, and currently resided in New Zealand. There were no exclusion criteria. By conclusion of Wave 15, the sample size of NZAVS is 32,857, with further details available online (</w:t>
      </w:r>
      <w:hyperlink r:id="rId107">
        <w:r>
          <w:rPr>
            <w:rStyle w:val="Hyperlink"/>
          </w:rPr>
          <w:t xml:space="preserve">https://osf.io/75snb/</w:t>
        </w:r>
      </w:hyperlink>
      <w:r>
        <w:t xml:space="preserve">). The number of Muslims who joined the NZAVS is a result of MDS is 582, and as a result, the total number of Muslim participants in NZAVS Wave 15 is 667.</w:t>
      </w:r>
    </w:p>
    <w:bookmarkEnd w:id="118"/>
    <w:bookmarkStart w:id="135" w:name="materials"/>
    <w:p>
      <w:pPr>
        <w:pStyle w:val="Heading2"/>
      </w:pPr>
      <w:r>
        <w:t xml:space="preserve">Materials</w:t>
      </w:r>
    </w:p>
    <w:p>
      <w:pPr>
        <w:pStyle w:val="FirstParagraph"/>
      </w:pPr>
      <w:r>
        <w:t xml:space="preserve">In this protocol, we are highlighting measures that are pertinent to the planned papers aimed at communicating the findings emerging from MDS. The complete list of NZAVS measures can be accessed online (</w:t>
      </w:r>
      <w:hyperlink r:id="rId107">
        <w:r>
          <w:rPr>
            <w:rStyle w:val="Hyperlink"/>
          </w:rPr>
          <w:t xml:space="preserve">https://osf.io/75snb/</w:t>
        </w:r>
      </w:hyperlink>
      <w:r>
        <w:t xml:space="preserve">).</w:t>
      </w:r>
    </w:p>
    <w:p>
      <w:pPr>
        <w:pStyle w:val="BodyText"/>
      </w:pPr>
      <w:r>
        <w:t xml:space="preserve">For Likert type scales, the minimum and maximum levels are noted along with the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119"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119"/>
    <w:bookmarkStart w:id="120"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Inaccurate, 7 = Very Accurate).</w:t>
      </w:r>
    </w:p>
    <w:p>
      <w:pPr>
        <w:numPr>
          <w:ilvl w:val="0"/>
          <w:numId w:val="1002"/>
        </w:numPr>
        <w:pStyle w:val="Compact"/>
      </w:pPr>
      <w:r>
        <w:t xml:space="preserve">I feel that I am often discriminated against because of my gender. (1 = Very Inaccurate,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120"/>
    <w:bookmarkStart w:id="121" w:name="felt-belonging"/>
    <w:p>
      <w:pPr>
        <w:pStyle w:val="Heading3"/>
      </w:pPr>
      <w:r>
        <w:t xml:space="preserve">Felt belonging</w:t>
      </w:r>
    </w:p>
    <w:p>
      <w:pPr>
        <w:numPr>
          <w:ilvl w:val="0"/>
          <w:numId w:val="1003"/>
        </w:numPr>
        <w:pStyle w:val="Compact"/>
      </w:pPr>
      <w:r>
        <w:t xml:space="preserve">I know that people in my life accept and value me. (1 = Very Inaccurate, 7 = Very Accurate).</w:t>
      </w:r>
    </w:p>
    <w:p>
      <w:pPr>
        <w:numPr>
          <w:ilvl w:val="0"/>
          <w:numId w:val="1003"/>
        </w:numPr>
        <w:pStyle w:val="Compact"/>
      </w:pPr>
      <w:r>
        <w:t xml:space="preserve">I feel like an outsider. (1 = Very Inaccurate, 7 = Very Accurate).</w:t>
      </w:r>
    </w:p>
    <w:p>
      <w:pPr>
        <w:numPr>
          <w:ilvl w:val="0"/>
          <w:numId w:val="1003"/>
        </w:numPr>
        <w:pStyle w:val="Compact"/>
      </w:pPr>
      <w:r>
        <w:t xml:space="preserve">I know that people in around me share my attitudes and beliefs. (1 = Very Inaccurate, 7 = Very Accurate).</w:t>
      </w:r>
    </w:p>
    <w:bookmarkEnd w:id="121"/>
    <w:bookmarkStart w:id="122"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22"/>
    <w:bookmarkStart w:id="123"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or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23"/>
    <w:bookmarkStart w:id="124"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(metres))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24"/>
    <w:bookmarkStart w:id="125"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25"/>
    <w:bookmarkStart w:id="126"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26"/>
    <w:bookmarkStart w:id="127"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measure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27"/>
    <w:bookmarkStart w:id="128"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28"/>
    <w:bookmarkStart w:id="129"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29"/>
    <w:bookmarkStart w:id="130"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30"/>
    <w:bookmarkStart w:id="131"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31"/>
    <w:bookmarkStart w:id="132"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32"/>
    <w:bookmarkStart w:id="133"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33"/>
    <w:bookmarkStart w:id="134" w:name="matching-with-other-religious-groups"/>
    <w:p>
      <w:pPr>
        <w:pStyle w:val="Heading3"/>
      </w:pPr>
      <w:r>
        <w:t xml:space="preserve">Matching with other religious groups</w:t>
      </w:r>
    </w:p>
    <w:p>
      <w:pPr>
        <w:pStyle w:val="FirstParagraph"/>
      </w:pPr>
      <w:r>
        <w:t xml:space="preserve">Similar to</w:t>
      </w:r>
      <w:r>
        <w:t xml:space="preserve"> </w:t>
      </w:r>
      <w:r>
        <w:t xml:space="preserve">Bulbulia et al. (</w:t>
      </w:r>
      <w:hyperlink w:anchor="ref-bulbulia2023">
        <w:r>
          <w:rPr>
            <w:rStyle w:val="Hyperlink"/>
          </w:rPr>
          <w:t xml:space="preserve">2023</w:t>
        </w:r>
      </w:hyperlink>
      <w:r>
        <w:t xml:space="preserve">)</w:t>
      </w:r>
      <w:r>
        <w:t xml:space="preserve">, we will use the following variables to identify matching members in different religions groups.</w:t>
      </w:r>
    </w:p>
    <w:p>
      <w:pPr>
        <w:numPr>
          <w:ilvl w:val="0"/>
          <w:numId w:val="1007"/>
        </w:numPr>
        <w:pStyle w:val="Compact"/>
      </w:pPr>
      <w:r>
        <w:t xml:space="preserve">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w:t>
      </w:r>
    </w:p>
    <w:p>
      <w:pPr>
        <w:numPr>
          <w:ilvl w:val="0"/>
          <w:numId w:val="1007"/>
        </w:numPr>
        <w:pStyle w:val="Compact"/>
      </w:pPr>
      <w:r>
        <w:t xml:space="preserve">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w:t>
      </w:r>
    </w:p>
    <w:p>
      <w:pPr>
        <w:numPr>
          <w:ilvl w:val="0"/>
          <w:numId w:val="1007"/>
        </w:numPr>
        <w:pStyle w:val="Compact"/>
      </w:pPr>
      <w:r>
        <w:t xml:space="preserve">Employment: A binary variable is created (0 = Unemployed, 1 = Employed) based on the responses to the employment item</w:t>
      </w:r>
      <w:r>
        <w:t xml:space="preserve"> </w:t>
      </w:r>
      <w:r>
        <w:t xml:space="preserve">“</w:t>
      </w:r>
      <w:r>
        <w:t xml:space="preserve">Are you currently employed?</w:t>
      </w:r>
      <w:r>
        <w:t xml:space="preserve">”</w:t>
      </w:r>
      <w:r>
        <w:t xml:space="preserve">.</w:t>
      </w:r>
    </w:p>
    <w:p>
      <w:pPr>
        <w:numPr>
          <w:ilvl w:val="0"/>
          <w:numId w:val="1007"/>
        </w:numPr>
        <w:pStyle w:val="Compact"/>
      </w:pPr>
      <w:r>
        <w:t xml:space="preserve">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w:t>
      </w:r>
    </w:p>
    <w:p>
      <w:pPr>
        <w:numPr>
          <w:ilvl w:val="0"/>
          <w:numId w:val="1007"/>
        </w:numPr>
        <w:pStyle w:val="Compact"/>
      </w:pPr>
      <w:r>
        <w:t xml:space="preserve">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w:t>
      </w:r>
    </w:p>
    <w:p>
      <w:pPr>
        <w:numPr>
          <w:ilvl w:val="0"/>
          <w:numId w:val="1007"/>
        </w:numPr>
        <w:pStyle w:val="Compact"/>
      </w:pPr>
      <w:r>
        <w:t xml:space="preserve">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proportion of unemployed, proportion lacking qualifications, proportion of household crowding, proportion with no telephone access, and proportion with no car access. Hence, this index reflects nationwide mean deprivation level for small neighbourhood-type units (i.e., small community areas consisting about 80-90 people).</w:t>
      </w:r>
    </w:p>
    <w:p>
      <w:pPr>
        <w:numPr>
          <w:ilvl w:val="0"/>
          <w:numId w:val="1007"/>
        </w:numPr>
        <w:pStyle w:val="Compact"/>
      </w:pPr>
      <w:r>
        <w:t xml:space="preserve">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case of missing values, the measure is imputed using a combination of age and education. The measure is assigned scores between 10 = Low and 90 = High.</w:t>
      </w:r>
    </w:p>
    <w:p>
      <w:pPr>
        <w:numPr>
          <w:ilvl w:val="0"/>
          <w:numId w:val="1007"/>
        </w:numPr>
        <w:pStyle w:val="Compact"/>
      </w:pPr>
      <w:r>
        <w:t xml:space="preserve">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w:t>
      </w:r>
    </w:p>
    <w:p>
      <w:pPr>
        <w:numPr>
          <w:ilvl w:val="0"/>
          <w:numId w:val="1007"/>
        </w:numPr>
        <w:pStyle w:val="Compact"/>
      </w:pPr>
      <w:r>
        <w:t xml:space="preserve">Partner: Responses to</w:t>
      </w:r>
      <w:r>
        <w:t xml:space="preserve"> </w:t>
      </w:r>
      <w:r>
        <w:t xml:space="preserve">“</w:t>
      </w:r>
      <w:r>
        <w:t xml:space="preserve">What is your relationship status?</w:t>
      </w:r>
      <w:r>
        <w:t xml:space="preserve">”</w:t>
      </w:r>
      <w:r>
        <w:t xml:space="preserve"> </w:t>
      </w:r>
      <w:r>
        <w:t xml:space="preserve">are assigned a binary variable (1 = Has a partner, 0 = Doesn’t have a partner).</w:t>
      </w:r>
    </w:p>
    <w:p>
      <w:pPr>
        <w:numPr>
          <w:ilvl w:val="0"/>
          <w:numId w:val="1007"/>
        </w:numPr>
        <w:pStyle w:val="Compact"/>
      </w:pPr>
      <w:r>
        <w:t xml:space="preserve">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w:t>
      </w:r>
    </w:p>
    <w:p>
      <w:pPr>
        <w:numPr>
          <w:ilvl w:val="0"/>
          <w:numId w:val="1007"/>
        </w:numPr>
        <w:pStyle w:val="Compact"/>
      </w:pPr>
      <w:r>
        <w:t xml:space="preserve">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w:t>
      </w:r>
    </w:p>
    <w:p>
      <w:pPr>
        <w:numPr>
          <w:ilvl w:val="0"/>
          <w:numId w:val="1007"/>
        </w:numPr>
        <w:pStyle w:val="Compact"/>
      </w:pPr>
      <w:r>
        <w:t xml:space="preserve">Residence: Urban or rural residence (a two-item nominal variable) is identified based on the physical addresses provided.</w:t>
      </w:r>
    </w:p>
    <w:p>
      <w:pPr>
        <w:numPr>
          <w:ilvl w:val="0"/>
          <w:numId w:val="1007"/>
        </w:numPr>
        <w:pStyle w:val="Compact"/>
      </w:pPr>
      <w:r>
        <w:t xml:space="preserve">Region of habituation: Whether participants are living in an urban or rural area, based on the addresses provided, is coded 1 = Urban, 0 = Rural.</w:t>
      </w:r>
    </w:p>
    <w:p>
      <w:pPr>
        <w:numPr>
          <w:ilvl w:val="0"/>
          <w:numId w:val="1007"/>
        </w:numPr>
        <w:pStyle w:val="Compact"/>
      </w:pPr>
      <w:r>
        <w:t xml:space="preserve">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w:t>
      </w:r>
    </w:p>
    <w:p>
      <w:pPr>
        <w:numPr>
          <w:ilvl w:val="0"/>
          <w:numId w:val="1007"/>
        </w:numPr>
        <w:pStyle w:val="Compact"/>
      </w:pPr>
      <w:r>
        <w:t xml:space="preserve">Big Six personality traits: Six personality traits – agreeableness, conscientiousness, extraversion, openness, honesty-humility, and neuroticism –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34"/>
    <w:bookmarkEnd w:id="135"/>
    <w:bookmarkStart w:id="136"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36"/>
    <w:bookmarkStart w:id="137" w:name="design"/>
    <w:p>
      <w:pPr>
        <w:pStyle w:val="Heading2"/>
      </w:pPr>
      <w:r>
        <w:t xml:space="preserve">Design</w:t>
      </w:r>
    </w:p>
    <w:p>
      <w:pPr>
        <w:pStyle w:val="FirstParagraph"/>
      </w:pPr>
      <w:r>
        <w:t xml:space="preserve">The NZAVS is a comprehensive, planned 20-year longitudinal national probability panel study that began in 2009, focusing on social attitudes, personality, ideology, and health outcomes. Currently in its 16th wave, the NZAVS employs quantitative measures to gather data from adult New Zealanders. The MDS serves as a three-year longitudinal booster to the NZAVS, specifically aimed at increasing the participation of Muslims residing in New Zealand. The MDS commenced with Wave 1, corresponding to NZAVS Wave 15 (from October 15, 2023, to October 14, 2024). Subsequent waves of the MDS align with NZAVS Wave 16 (October 15, 2024, to October 14, 2025) and Wave 17 (October 15, 2025, to October 14, 2026).</w:t>
      </w:r>
      <w:r>
        <w:t xml:space="preserve"> </w:t>
      </w:r>
      <w:r>
        <w:t xml:space="preserve">The study will examine various dependent variables to test the proposed MDS hypotheses, including perceived religious and ethnic discrimination, employment status, job satisfaction, job security, feeling valued by the organization, self-rated health, perceived health decline, chronic diseases and disabilities, psychological distress, meaning of life, life satisfaction, sense of belonging, perceived support, warmth toward various groups, vengeful rumination, and forgiveness. The independent variables include:</w:t>
      </w:r>
    </w:p>
    <w:p>
      <w:pPr>
        <w:numPr>
          <w:ilvl w:val="0"/>
          <w:numId w:val="1008"/>
        </w:numPr>
        <w:pStyle w:val="Compact"/>
      </w:pPr>
      <w:r>
        <w:t xml:space="preserve">Perceived religious discrimination</w:t>
      </w:r>
    </w:p>
    <w:p>
      <w:pPr>
        <w:numPr>
          <w:ilvl w:val="0"/>
          <w:numId w:val="1008"/>
        </w:numPr>
        <w:pStyle w:val="Compact"/>
      </w:pPr>
      <w:r>
        <w:t xml:space="preserve">Perceived ethnic discrimination</w:t>
      </w:r>
    </w:p>
    <w:p>
      <w:pPr>
        <w:numPr>
          <w:ilvl w:val="0"/>
          <w:numId w:val="1008"/>
        </w:numPr>
        <w:pStyle w:val="Compact"/>
      </w:pPr>
      <w:r>
        <w:t xml:space="preserve">Employment status</w:t>
      </w:r>
    </w:p>
    <w:p>
      <w:pPr>
        <w:numPr>
          <w:ilvl w:val="0"/>
          <w:numId w:val="1008"/>
        </w:numPr>
        <w:pStyle w:val="Compact"/>
      </w:pPr>
      <w:r>
        <w:t xml:space="preserve">Job satisfaction</w:t>
      </w:r>
    </w:p>
    <w:p>
      <w:pPr>
        <w:numPr>
          <w:ilvl w:val="0"/>
          <w:numId w:val="1008"/>
        </w:numPr>
        <w:pStyle w:val="Compact"/>
      </w:pPr>
      <w:r>
        <w:t xml:space="preserve">Job security</w:t>
      </w:r>
    </w:p>
    <w:p>
      <w:pPr>
        <w:numPr>
          <w:ilvl w:val="0"/>
          <w:numId w:val="1008"/>
        </w:numPr>
        <w:pStyle w:val="Compact"/>
      </w:pPr>
      <w:r>
        <w:t xml:space="preserve">Feeling valued by organisation</w:t>
      </w:r>
    </w:p>
    <w:p>
      <w:pPr>
        <w:numPr>
          <w:ilvl w:val="0"/>
          <w:numId w:val="1008"/>
        </w:numPr>
        <w:pStyle w:val="Compact"/>
      </w:pPr>
      <w:r>
        <w:t xml:space="preserve">Self-rated health</w:t>
      </w:r>
    </w:p>
    <w:p>
      <w:pPr>
        <w:numPr>
          <w:ilvl w:val="0"/>
          <w:numId w:val="1008"/>
        </w:numPr>
        <w:pStyle w:val="Compact"/>
      </w:pPr>
      <w:r>
        <w:t xml:space="preserve">Perceived health decline</w:t>
      </w:r>
    </w:p>
    <w:p>
      <w:pPr>
        <w:numPr>
          <w:ilvl w:val="0"/>
          <w:numId w:val="1008"/>
        </w:numPr>
        <w:pStyle w:val="Compact"/>
      </w:pPr>
      <w:r>
        <w:t xml:space="preserve">Chronic diseases and disabilities</w:t>
      </w:r>
    </w:p>
    <w:p>
      <w:pPr>
        <w:numPr>
          <w:ilvl w:val="0"/>
          <w:numId w:val="1008"/>
        </w:numPr>
        <w:pStyle w:val="Compact"/>
      </w:pPr>
      <w:r>
        <w:t xml:space="preserve">Kessler-6 psychological distress scale</w:t>
      </w:r>
    </w:p>
    <w:p>
      <w:pPr>
        <w:numPr>
          <w:ilvl w:val="0"/>
          <w:numId w:val="1008"/>
        </w:numPr>
        <w:pStyle w:val="Compact"/>
      </w:pPr>
      <w:r>
        <w:t xml:space="preserve">Meaning of life</w:t>
      </w:r>
    </w:p>
    <w:p>
      <w:pPr>
        <w:numPr>
          <w:ilvl w:val="0"/>
          <w:numId w:val="1008"/>
        </w:numPr>
        <w:pStyle w:val="Compact"/>
      </w:pPr>
      <w:r>
        <w:t xml:space="preserve">Life satisfaction</w:t>
      </w:r>
    </w:p>
    <w:p>
      <w:pPr>
        <w:numPr>
          <w:ilvl w:val="0"/>
          <w:numId w:val="1008"/>
        </w:numPr>
        <w:pStyle w:val="Compact"/>
      </w:pPr>
      <w:r>
        <w:t xml:space="preserve">Sense of belonging</w:t>
      </w:r>
    </w:p>
    <w:p>
      <w:pPr>
        <w:numPr>
          <w:ilvl w:val="0"/>
          <w:numId w:val="1008"/>
        </w:numPr>
        <w:pStyle w:val="Compact"/>
      </w:pPr>
      <w:r>
        <w:t xml:space="preserve">Perceived support</w:t>
      </w:r>
    </w:p>
    <w:p>
      <w:pPr>
        <w:numPr>
          <w:ilvl w:val="0"/>
          <w:numId w:val="1008"/>
        </w:numPr>
        <w:pStyle w:val="Compact"/>
      </w:pPr>
      <w:r>
        <w:t xml:space="preserve">Warmth toward various groups</w:t>
      </w:r>
    </w:p>
    <w:p>
      <w:pPr>
        <w:numPr>
          <w:ilvl w:val="0"/>
          <w:numId w:val="1008"/>
        </w:numPr>
        <w:pStyle w:val="Compact"/>
      </w:pPr>
      <w:r>
        <w:t xml:space="preserve">Vengeful rumination</w:t>
      </w:r>
    </w:p>
    <w:p>
      <w:pPr>
        <w:numPr>
          <w:ilvl w:val="0"/>
          <w:numId w:val="1008"/>
        </w:numPr>
        <w:pStyle w:val="Compact"/>
      </w:pPr>
      <w:r>
        <w:t xml:space="preserve">Forgiveness</w:t>
      </w:r>
    </w:p>
    <w:bookmarkEnd w:id="137"/>
    <w:bookmarkStart w:id="141" w:name="data-analysis"/>
    <w:p>
      <w:pPr>
        <w:pStyle w:val="Heading2"/>
      </w:pPr>
      <w:r>
        <w:t xml:space="preserve">Data Analysis</w:t>
      </w:r>
    </w:p>
    <w:bookmarkStart w:id="138" w:name="X5e48f68f3b36cbaaef344c66eaa3269d2e87103"/>
    <w:p>
      <w:pPr>
        <w:pStyle w:val="Heading3"/>
      </w:pPr>
      <w:r>
        <w:t xml:space="preserve">Religiosity, community ties, and anti-Muslim prejudice</w:t>
      </w:r>
    </w:p>
    <w:p>
      <w:pPr>
        <w:pStyle w:val="FirstParagraph"/>
      </w:pPr>
      <w:r>
        <w:rPr>
          <w:bCs/>
          <w:b/>
        </w:rPr>
        <w:t xml:space="preserve">Hypothesis 1</w:t>
      </w:r>
      <w:r>
        <w:t xml:space="preserve"> </w:t>
      </w:r>
      <w:r>
        <w:t xml:space="preserve">states: Muslims with the strongest ties to their community as measured by service attendance and prayer are buffered most from anti-Muslim prejudice. This hypothesis examines how Muslims’ religious engagement and community connections may buffer them against anti-Muslim prejudice. This investigation employs a multi-analytical approach to understand the complex relationships between religious participation and experienced prejudice. The analysis begins with examining correlations between religiosity measures and perceived prejudice, followed by regression analyses that evaluate how service attendance, prayer frequency, religious importance, and spiritual identification predict levels of perceived discrimination. The framework extends to moderation analyses, investigating whether community involvement serves as a protective factor in the relationship between religiosity and perceived discrimination. Finally, mediation analyses will explore whether sense of belonging acts as an intermediary mechanism through which religiosity influences experiences of discrimination. This comprehensive analytical approach allows for a nuanced understanding of how religious and community engagement may protect Muslims from the adverse effects of prejudice.</w:t>
      </w:r>
    </w:p>
    <w:bookmarkEnd w:id="138"/>
    <w:bookmarkStart w:id="139" w:name="Xdb4a6d9848535931a8f909445ce0f097df45faa"/>
    <w:p>
      <w:pPr>
        <w:pStyle w:val="Heading3"/>
      </w:pPr>
      <w:r>
        <w:t xml:space="preserve">Employment and health challenges among Muslims</w:t>
      </w:r>
    </w:p>
    <w:p>
      <w:pPr>
        <w:pStyle w:val="FirstParagraph"/>
      </w:pPr>
      <w:r>
        <w:rPr>
          <w:bCs/>
          <w:b/>
        </w:rPr>
        <w:t xml:space="preserve">Hypothesis 2</w:t>
      </w:r>
      <w:r>
        <w:t xml:space="preserve"> </w:t>
      </w:r>
      <w:r>
        <w:t xml:space="preserve">states: Muslims experience greater challenges to employment and health than matched members of other religious groups. To investigate this, we employ propensity score matching to align Muslim participants with individuals from other religious groups based on variables identified in previous studies, such as those by</w:t>
      </w:r>
      <w:r>
        <w:t xml:space="preserve"> </w:t>
      </w:r>
      <w:r>
        <w:t xml:space="preserve">Bulbulia et al. (</w:t>
      </w:r>
      <w:hyperlink w:anchor="ref-bulbulia2023">
        <w:r>
          <w:rPr>
            <w:rStyle w:val="Hyperlink"/>
          </w:rPr>
          <w:t xml:space="preserve">2023</w:t>
        </w:r>
      </w:hyperlink>
      <w:r>
        <w:t xml:space="preserve">)</w:t>
      </w:r>
      <w:r>
        <w:t xml:space="preserve">. These variables include age, education, employment, ethnicity, gender, deprivation index, socioeconomic status, being a parent, having a partner, religious identification, political orientation, urban versus rural residence, region, race-based anxiety, and the Big Six personality traits measures. Following matching, regression analyses will be conducted to predict employment status, job satisfaction, and job security from religious affiliation. Additional regression analyses will assess self-rated health and disability considering religious affiliation, health behaviors, and chronic diseases. Chi-square tests will further explore the relationship between religious affiliation and both employment and disability statuses. This comprehensive analytical framework allows for a detailed examination of the unique challenges faced by Muslims in employment and health contexts.</w:t>
      </w:r>
    </w:p>
    <w:bookmarkEnd w:id="139"/>
    <w:bookmarkStart w:id="140" w:name="Xe3bc9a0a690fdd07f2aaaed25d787c68bc92a69"/>
    <w:p>
      <w:pPr>
        <w:pStyle w:val="Heading3"/>
      </w:pPr>
      <w:r>
        <w:t xml:space="preserve">Psychological wellbeing and Religious Community Support</w:t>
      </w:r>
    </w:p>
    <w:p>
      <w:pPr>
        <w:pStyle w:val="FirstParagraph"/>
      </w:pPr>
      <w:r>
        <w:rPr>
          <w:bCs/>
          <w:b/>
        </w:rPr>
        <w:t xml:space="preserve">Hypothesis 3</w:t>
      </w:r>
      <w:r>
        <w:t xml:space="preserve"> </w:t>
      </w:r>
      <w:r>
        <w:t xml:space="preserve">states: Subjective wellbeing, the meaning of life, and psychological distress are similar among Muslims and matched members of religious groups from the buffering of religious community-making. Building upon the matching methodology established in Hypothesis 2, this analysis employs a multi-tiered analytical approach. Analysis of variance (ANOVA) will be conducted to compare average scores of subjective wellbeing and psychological distress across religious groups. Regression analyses will investigate if community support and religious community-making serve as protective factors against distress while enhancing wellbeing. The investigation extends to structural equation modeling to examine the mediating role of community-making in the relationship between religious affiliation and wellbeing outcomes. Finally, moderation analyses will assess whether the strength of community support and sense of belonging influence the relationship between religious group membership and psychological outcomes of wellbeing and distress. This comprehensive analytical framework enables a nuanced understanding of how religious community engagement contributes to psychological wellbeing across different religious groups.</w:t>
      </w:r>
    </w:p>
    <w:bookmarkEnd w:id="140"/>
    <w:bookmarkEnd w:id="141"/>
    <w:bookmarkStart w:id="149" w:name="procedure"/>
    <w:p>
      <w:pPr>
        <w:pStyle w:val="Heading2"/>
      </w:pPr>
      <w:r>
        <w:t xml:space="preserve">Procedure</w:t>
      </w:r>
    </w:p>
    <w:bookmarkStart w:id="142" w:name="X9362b626c01a5909f132b5d297824790daada65"/>
    <w:p>
      <w:pPr>
        <w:pStyle w:val="Heading3"/>
      </w:pPr>
      <w:r>
        <w:t xml:space="preserve">Training, Support, and Supervision for the Project Team</w:t>
      </w:r>
    </w:p>
    <w:p>
      <w:pPr>
        <w:pStyle w:val="FirstParagraph"/>
      </w:pPr>
      <w:r>
        <w:t xml:space="preserve">The 30 research assistants, as indicated in</w:t>
      </w:r>
      <w:r>
        <w:t xml:space="preserve"> </w:t>
      </w:r>
      <w:hyperlink w:anchor="tbl-muslim-population">
        <w:r>
          <w:rPr>
            <w:rStyle w:val="Hyperlink"/>
          </w:rPr>
          <w:t xml:space="preserve">Table 1</w:t>
        </w:r>
      </w:hyperlink>
      <w:r>
        <w:t xml:space="preserve">, were recruited before the MDS Wave 1. The position was advertised by the University of Canterbury and shared via social media, emails, and community organisations. The eligibility criteria included at least of tertiary level education in New Zealand, familiarity with research in humanities, interest in working with communities, and experiences of working with a Muslim community organisations. Thirty research assistants were recruited after initial screening and interviews from a total of 95 applicants.</w:t>
      </w:r>
    </w:p>
    <w:p>
      <w:pPr>
        <w:pStyle w:val="BodyText"/>
      </w:pPr>
      <w:r>
        <w:t xml:space="preserve">Prior to the commencement of the MDS, a series of comprehensive Zoom training sessions were conducted to equip the research assistants with the necessary knowledge and skills. These sessions covered the background of the NZAVS and the MDS, as well as detailed instructions on the survey questionnaires. Additionally, the training emphasized ethical guidelines, confidentiality principles, and effective communication strategies for engaging with a culturally diverse participant pool. The training also provided guidelines on planning for hiring participants and promoting the community participation in the study. All recommendations from the co-designing process with community were included in the training material.</w:t>
      </w:r>
    </w:p>
    <w:p>
      <w:pPr>
        <w:pStyle w:val="BodyText"/>
      </w:pPr>
      <w:r>
        <w:t xml:space="preserve">Recognizing the diverse backgrounds of the research assistants, the training program was tailored to accommodate varying levels of research experience. For some assistants, this was their first experience in data collection, while others had extensive research backgrounds. To support their work, the principal investigator conducted fortnightly check-ins with individuals and teams across different cities, ensuring that any questions were addressed promptly. The principal investigator also provided ongoing guidance and feedback, and was available to communicate with participants via audio and video mediums as needed. This structured support system ensured that research assistants were well-prepared and confident in their roles, contributing to the overall success of the project.</w:t>
      </w:r>
    </w:p>
    <w:bookmarkEnd w:id="142"/>
    <w:bookmarkStart w:id="143" w:name="data-collection"/>
    <w:p>
      <w:pPr>
        <w:pStyle w:val="Heading3"/>
      </w:pPr>
      <w:r>
        <w:t xml:space="preserve">Data collection</w:t>
      </w:r>
    </w:p>
    <w:p>
      <w:pPr>
        <w:pStyle w:val="FirstParagraph"/>
      </w:pPr>
      <w:r>
        <w:t xml:space="preserve">Research assistants used the snowball approach for data collection. As per recommendations from the co-designing process, they started reaching out to their close circles, and kept expanding their reach through secondary contacts. The sample was non-representative, and participants had the choice of filling in the online questionnaire using Qualtrics, or a paper questionnaire which could be returned to the NZAVS headquarters in Auckland University using a prepaid postal envelope.</w:t>
      </w:r>
    </w:p>
    <w:p>
      <w:pPr>
        <w:pStyle w:val="BodyText"/>
      </w:pPr>
      <w:r>
        <w:t xml:space="preserve">After the initial stage of reaching out to their close circles, the research assistants started reaching out to community organisations. A runsheet was provided, and different documents and promotional materials such as individual messages, community messages, flyers, and posters were at the research assistants disposal based on their needs. We also developed clear vision and ethics statements that were part of our MDS introductory letter. In addition, a cover letter was sent to all participants alongside the information sheet. It was aimed to clearly convey the purposes of MDS to the community. Please see appendices A-H for the aforementioned materials. Furthermore, 10 promotional shirts were designed which the research assistants wore during festivals and community events for the study promotion.</w:t>
      </w:r>
    </w:p>
    <w:p>
      <w:pPr>
        <w:pStyle w:val="BodyText"/>
      </w:pPr>
      <w:r>
        <w:t xml:space="preserve">The social media campaign started at the beginning of 2024 and continued until the end of Wave 1. Besides regularly posting on a weekly, and later on, a fortnightly basis, we also used paid promotion to increase the reach of the project.</w:t>
      </w:r>
    </w:p>
    <w:p>
      <w:pPr>
        <w:pStyle w:val="BodyText"/>
      </w:pP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shared our promotional material online on their social media platforms, via community message groups (e.g., WhatsApp), and mailing lists. It is worth noting that some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and religious festivals.</w:t>
      </w:r>
    </w:p>
    <w:p>
      <w:pPr>
        <w:pStyle w:val="BodyText"/>
      </w:pPr>
      <w:r>
        <w:t xml:space="preserve">In addition to reaching out to organisations, the principal investigator and research assistants conversed with 28 local and national community leaders, celebrities, religious scholars, and academics to disseminate information about the study to the communities. As part of this recruitment drive, the principal investigator also presented 28 talks, presentations, and/or lectures to Muslim community groups around New Zealand via mosques, universities and community organisations in the selected cities, explaining the goals of the NZAVS, and how it would benefit the New Zealand Muslim community to be represented in this ongoing national longitudinal panel sample. Five additional talks were delivered by the research assistants too.</w:t>
      </w:r>
    </w:p>
    <w:bookmarkEnd w:id="143"/>
    <w:bookmarkStart w:id="144" w:name="ensuring-research-assistants-convenience"/>
    <w:p>
      <w:pPr>
        <w:pStyle w:val="Heading3"/>
      </w:pPr>
      <w:r>
        <w:t xml:space="preserve">Ensuring research assistants’ convenience</w:t>
      </w:r>
    </w:p>
    <w:p>
      <w:pPr>
        <w:pStyle w:val="FirstParagraph"/>
      </w:pPr>
      <w:r>
        <w:t xml:space="preserve">MDS research assistants came from varied backgrounds. Some of them have had research degrees and extensive research experience, whereas, for others, it was their first attempt at engaging in data collection. Some research assistants wanted explicit weekly targets while others decided their own targets. The principal investigator conducted fortnightly check-ins with the research assistants and teams in each selected city to ensure that all their queries were answered, and that they had reliable guidance and feedback throughout the process. The principal investigator was also available to talk with the participants if and when needed via audio and video mediums.</w:t>
      </w:r>
    </w:p>
    <w:p>
      <w:pPr>
        <w:pStyle w:val="BodyText"/>
      </w:pPr>
      <w:r>
        <w:t xml:space="preserve">Research assistants were available to help participants with understanding questions, and if needed, were also present when participants completed questionnaires.</w:t>
      </w:r>
    </w:p>
    <w:bookmarkEnd w:id="144"/>
    <w:bookmarkStart w:id="146" w:name="web-hosting"/>
    <w:p>
      <w:pPr>
        <w:pStyle w:val="Heading3"/>
      </w:pPr>
      <w:r>
        <w:t xml:space="preserve">Web hosting</w:t>
      </w:r>
    </w:p>
    <w:p>
      <w:pPr>
        <w:pStyle w:val="FirstParagraph"/>
      </w:pPr>
      <w:r>
        <w:t xml:space="preserve">The MDS website (access from</w:t>
      </w:r>
      <w:r>
        <w:t xml:space="preserve"> </w:t>
      </w:r>
      <w:hyperlink r:id="rId145">
        <w:r>
          <w:rPr>
            <w:rStyle w:val="Hyperlink"/>
          </w:rPr>
          <w:t xml:space="preserve">here</w:t>
        </w:r>
      </w:hyperlink>
      <w:r>
        <w:t xml:space="preserve">) provides all key information for the public and will be updated as progress is made.</w:t>
      </w:r>
    </w:p>
    <w:bookmarkEnd w:id="146"/>
    <w:bookmarkStart w:id="148" w:name="data-management"/>
    <w:p>
      <w:pPr>
        <w:pStyle w:val="Heading3"/>
      </w:pPr>
      <w:r>
        <w:t xml:space="preserve">Data management</w:t>
      </w:r>
    </w:p>
    <w:p>
      <w:pPr>
        <w:pStyle w:val="FirstParagraph"/>
      </w:pPr>
      <w:r>
        <w:t xml:space="preserve">The collected data were anonymised and processed in the NZAVS headquarters, and only made available to trusted researchers and collaborators. The NZAVS data dictionary, sampling procedure, sample details and other relevant information can be accessed online (</w:t>
      </w:r>
      <w:hyperlink r:id="rId147">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48"/>
    <w:bookmarkEnd w:id="149"/>
    <w:bookmarkStart w:id="150"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50"/>
    <w:bookmarkStart w:id="151" w:name="Xf133d7d07554749b7f8585b1b66f54bd68939a8"/>
    <w:p>
      <w:pPr>
        <w:pStyle w:val="Heading2"/>
      </w:pPr>
      <w:r>
        <w:t xml:space="preserve">Lessons learned: Guidelines of working with the Muslim community</w:t>
      </w:r>
    </w:p>
    <w:p>
      <w:pPr>
        <w:pStyle w:val="FirstParagraph"/>
      </w:pPr>
      <w:r>
        <w:t xml:space="preserve">&lt;&lt;&lt;&lt;&lt;&lt;&lt; HEAD</w:t>
      </w:r>
      <w:r>
        <w:t xml:space="preserve"> </w:t>
      </w:r>
      <w:r>
        <w:t xml:space="preserve">Based on our interactions with the community, we had anecdotal evidence that some members of the Muslim community might distrust social research and view it as state surveillance. We also had anecdotal evidence of increase in such scepticism after the Christchurch shootings. Hence, we ensured that our approach and methodology addressed these issues beforehand, and in-line with recommendations from co-designing with the community, such as building trust, highlighting the importance and benefits of academic research, and addressing under-representation of Mulsims in research – our flyers, posters, social media messages, and individual messages are testaments to this. Based on our interactions with the Muslim community and feedback from the research assistants, we anecdotally inferred that the following elements encourage increased participation of the Muslim community in research:</w:t>
      </w:r>
    </w:p>
    <w:p>
      <w:pPr>
        <w:numPr>
          <w:ilvl w:val="0"/>
          <w:numId w:val="1009"/>
        </w:numPr>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09"/>
        </w:numPr>
      </w:pPr>
      <w:r>
        <w:t xml:space="preserve">Addressing concerns regarding confidentiality and data management: Given that a large number of Muslims have taken refuge in New Zealand after escaping oppressive regimes, it is only natural for them to be sceptical of anyone who might ask them to provide data. Therefore, it is extremely important to ensure that the data are secured. At NZAVS, adhere to strict security protocols. Our data are anyonymised yet not publicly available, and is safeguarded with some of the world’s most secure encryption.</w:t>
      </w:r>
    </w:p>
    <w:p>
      <w:pPr>
        <w:numPr>
          <w:ilvl w:val="0"/>
          <w:numId w:val="1009"/>
        </w:numPr>
      </w:pPr>
      <w:r>
        <w:t xml:space="preserve">Being transparent and truthful with the community: Besides building rapport and ensuring confidentiality, it is extremely important to be transparent and truthful with the community in term of deliverables and outputs. Reportedly, in the past, some researchers have collected data from the community, but the reports were not shared. Being in constant contact with community ensures that future research endeavours could take place effectively.</w:t>
      </w:r>
    </w:p>
    <w:p>
      <w:pPr>
        <w:numPr>
          <w:ilvl w:val="0"/>
          <w:numId w:val="1009"/>
        </w:numPr>
      </w:pPr>
      <w:r>
        <w:t xml:space="preserve">Reaching out to individuals personally, and not via groups: Our research assistants have discovered this, especially by the means of targetting their close circles individually and keeping expanding the reach, as a more effective approach to incur higher response rate as compared to targetting the community out via organisations. Notwithstanding, the group approach has its own advantages and helps with dissemination of message.</w:t>
      </w:r>
    </w:p>
    <w:p>
      <w:pPr>
        <w:numPr>
          <w:ilvl w:val="0"/>
          <w:numId w:val="1009"/>
        </w:numPr>
      </w:pPr>
      <w:r>
        <w:t xml:space="preserve">Medium: At the beginning, the focus was on both online and paper questionnaires. Towards the end, based on the feedback from research assistants, we employed paper questionnaires only, which resulted in a comparatively higher turn out.</w:t>
      </w:r>
    </w:p>
    <w:p>
      <w:pPr>
        <w:numPr>
          <w:ilvl w:val="0"/>
          <w:numId w:val="1009"/>
        </w:numPr>
      </w:pPr>
      <w:r>
        <w:t xml:space="preserve">Achievable targets: After testing different targets, each research assistant committed to the completion of a minimum of three participants each week during the final five months. This, coupled with point 5, enhanced the response rate.</w:t>
      </w:r>
    </w:p>
    <w:p>
      <w:pPr>
        <w:pStyle w:val="FirstParagraph"/>
      </w:pPr>
      <w:r>
        <w:t xml:space="preserve">Similarly, we learned that the following factors could hinder data collection efforts.</w:t>
      </w:r>
    </w:p>
    <w:p>
      <w:pPr>
        <w:numPr>
          <w:ilvl w:val="0"/>
          <w:numId w:val="1010"/>
        </w:numPr>
        <w:pStyle w:val="Compact"/>
      </w:pPr>
      <w:r>
        <w:t xml:space="preserve">Length of the questionnaire: It is measured by the time taken to complete the questionnaire, and was one of the challenges identified in MDS. This would not necessarily generalise to shorter questionnaires.</w:t>
      </w:r>
    </w:p>
    <w:p>
      <w:pPr>
        <w:numPr>
          <w:ilvl w:val="0"/>
          <w:numId w:val="1010"/>
        </w:numPr>
        <w:pStyle w:val="Compact"/>
      </w:pPr>
      <w:r>
        <w:t xml:space="preserve">Unfamiliarity of participants with scientific research: Generally, it is the subsequent generation of Muslims that attend the Western education system and become familiar with the process of research, thereby, being more comfortable with research participation. This makes the first generations less likely to participate. We also have anecdotal evidence from participants, research assistants, and Advisory Group to infer that the first generation of Muslims, due to language barriers and other life priorities (settling in New Zealand, work, lower education) might be less likely to participate. Therefore, the sampling should be mindful of these barriers and implement appropriate recruitment strategies.</w:t>
      </w:r>
    </w:p>
    <w:p>
      <w:pPr>
        <w:numPr>
          <w:ilvl w:val="0"/>
          <w:numId w:val="1010"/>
        </w:numPr>
        <w:pStyle w:val="Compact"/>
      </w:pPr>
      <w:r>
        <w:t xml:space="preserve">Privacy concerns: In general, if the community does not trust the research group, they would be hesitant to participate. It might sound like common sense, but this is an alert for researchers to not take this matter lightly. The community might not be very familiar with the research process, but that does not mean they should be approached in a non-serious or frank manner. All the potential concerns, including privacy, have to be addressed beforehand.</w:t>
      </w:r>
    </w:p>
    <w:p>
      <w:pPr>
        <w:numPr>
          <w:ilvl w:val="0"/>
          <w:numId w:val="1010"/>
        </w:numPr>
        <w:pStyle w:val="Compact"/>
      </w:pPr>
      <w:r>
        <w:t xml:space="preserve">Political climate: The current political climate and the Middle-East conflict has affected the population as well as the research assistants. Although we lack empiricial data, many of our team members and potential participants lost their loved ones since October 2023 and have been grieving. In some of such instances, we tried not to approach the affected members of community.</w:t>
      </w:r>
    </w:p>
    <w:p>
      <w:pPr>
        <w:numPr>
          <w:ilvl w:val="0"/>
          <w:numId w:val="1010"/>
        </w:numPr>
        <w:pStyle w:val="Compact"/>
      </w:pPr>
      <w:r>
        <w:t xml:space="preserve">Language barriers: Our community consultation revealed that most of our potential participants would comprehend English. This, by design, left out those with limited language abilities from participation.</w:t>
      </w:r>
    </w:p>
    <w:p>
      <w:pPr>
        <w:pStyle w:val="FirstParagraph"/>
      </w:pPr>
      <w:r>
        <w:t xml:space="preserve">&lt;&lt;&lt;&lt;&lt;&lt;&lt; HEAD</w:t>
      </w:r>
      <w:r>
        <w:t xml:space="preserve"> </w:t>
      </w:r>
      <w:r>
        <w:t xml:space="preserve">In addition, we found the use of social media, website, flyers, and posters effective in engaging community. Contents of website addressing privacy concerns, ethics, vision, and mission were appreciate by some participants and community leaders. In terms of research assistant trainig, we learned that a systematic approach, runsheet, manual, frequently asked questions, and evolving data collection targets were useful.</w:t>
      </w:r>
      <w:r>
        <w:t xml:space="preserve"> </w:t>
      </w:r>
      <w:r>
        <w:t xml:space="preserve">=======</w:t>
      </w:r>
      <w:r>
        <w:t xml:space="preserve"> </w:t>
      </w:r>
      <w:r>
        <w:t xml:space="preserve">In addition, we found the use of social media, website, flyers, and posters effective in engaging community. Contents of website addressing privacy concerns, ethics, vision, and mission were appreciate by some participants and community leaders. In terms of research assistan trainig, we learned that a systematic approach, runsheet, manual, frequently asked questions, and evolving data collection targets were useful.</w:t>
      </w:r>
      <w:r>
        <w:t xml:space="preserve"> </w:t>
      </w:r>
      <w:r>
        <w:t xml:space="preserve">&gt;&gt;&gt;&gt;&gt;&gt;&gt; 6dfaf26f8138b340bbb86cd92331d10f7cec54b1</w:t>
      </w:r>
    </w:p>
    <w:p>
      <w:pPr>
        <w:pStyle w:val="BodyText"/>
      </w:pPr>
      <w:r>
        <w:t xml:space="preserve">Although these findings are anecdotal, we witnessed enhanced participation by addressing some of these challenges. Some of these recommendations have reflected in outputs of March 15 research group too</w:t>
      </w:r>
      <w:r>
        <w:t xml:space="preserve"> </w:t>
      </w:r>
      <w:r>
        <w:t xml:space="preserve">(</w:t>
      </w:r>
      <w:hyperlink w:anchor="ref-sulaiman-hill2024">
        <w:r>
          <w:rPr>
            <w:rStyle w:val="Hyperlink"/>
          </w:rPr>
          <w:t xml:space="preserve">Sulaiman-Hill et al., 2024</w:t>
        </w:r>
      </w:hyperlink>
      <w:r>
        <w:t xml:space="preserve">)</w:t>
      </w:r>
      <w:r>
        <w:t xml:space="preserve">. To better understand and document the process, we have conducted a qualitative study on research assistant experiences in terms of data collection</w:t>
      </w:r>
      <w:r>
        <w:t xml:space="preserve"> </w:t>
      </w:r>
      <w:r>
        <w:t xml:space="preserve">(</w:t>
      </w:r>
      <w:hyperlink w:anchor="ref-afzali2024">
        <w:r>
          <w:rPr>
            <w:rStyle w:val="Hyperlink"/>
          </w:rPr>
          <w:t xml:space="preserve">Afzali, 2024</w:t>
        </w:r>
      </w:hyperlink>
      <w:r>
        <w:t xml:space="preserve">)</w:t>
      </w:r>
      <w:r>
        <w:t xml:space="preserve">. Findings from this research will be published in the near future.</w:t>
      </w:r>
    </w:p>
    <w:bookmarkEnd w:id="151"/>
    <w:bookmarkStart w:id="152" w:name="strengths"/>
    <w:p>
      <w:pPr>
        <w:pStyle w:val="Heading2"/>
      </w:pPr>
      <w:r>
        <w:t xml:space="preserve">Strengths</w:t>
      </w:r>
    </w:p>
    <w:p>
      <w:pPr>
        <w:pStyle w:val="FirstParagraph"/>
      </w:pPr>
      <w:r>
        <w:t xml:space="preserve">MDS represents a significant advancement in knowledge production, addressing the historical under-representation of the Muslim community in research. While the NZVAS has made important contributions in this area, MDS is a crucial step forward.</w:t>
      </w:r>
    </w:p>
    <w:p>
      <w:pPr>
        <w:pStyle w:val="BodyText"/>
      </w:pPr>
      <w:r>
        <w:t xml:space="preserve">As the first comprehensive, contextually rich study of Kiwi Muslims, MDS uses systematic, standardized research methods to explore the decision-making, policy formulation, and inclusion practices of key social players such as the news media, political parties, and social action groups. By ensuring a representative sample (with the NZAVS comprising more than 1% of the target population), MDS aims to enhance our understanding of how these entities interact with the Muslim community in New Zealand.</w:t>
      </w:r>
    </w:p>
    <w:p>
      <w:pPr>
        <w:pStyle w:val="BodyText"/>
      </w:pPr>
      <w:r>
        <w:t xml:space="preserve">The findings of MDS are expected to provide valuable insights into issues like political perceptions, diversity, discrimination, self-perception, resilience, meaning making, and flourishing within the Muslim community. Additionally, MDS will help dispel misconceptions and improve the general public’s understanding of Muslims, fostering greater social cohesion. Furthermore, this research lays a solid foundation for future studies on the experiences and perspectives of Muslims in New Zealand.</w:t>
      </w:r>
    </w:p>
    <w:bookmarkEnd w:id="152"/>
    <w:bookmarkStart w:id="153" w:name="limitations"/>
    <w:p>
      <w:pPr>
        <w:pStyle w:val="Heading2"/>
      </w:pPr>
      <w:r>
        <w:t xml:space="preserve">Limitations</w:t>
      </w:r>
    </w:p>
    <w:p>
      <w:pPr>
        <w:pStyle w:val="FirstParagraph"/>
      </w:pPr>
      <w:r>
        <w:t xml:space="preserve">MDS is a quantitative-only study, which was necessary to enable comparison with other groups in the NZAVS and to serve as a booster for the NZAS. While this focus on quantitative data limits certain aspects of the study, it provides valuable insights and lays the groundwork for future qualitative research, which could address emerging questions from the community.</w:t>
      </w:r>
      <w:r>
        <w:t xml:space="preserve"> </w:t>
      </w:r>
      <w:r>
        <w:t xml:space="preserve">Given the large sample size and the range of variables examining various social aspects, MDS—and the NZAVS more broadly—offers an unprecedented wealth of data about the lives of New Zealanders. This richness is demonstrated by numerous peer-reviewed publications that have emerged from the datasets.</w:t>
      </w:r>
    </w:p>
    <w:p>
      <w:pPr>
        <w:pStyle w:val="BodyText"/>
      </w:pPr>
      <w:r>
        <w:t xml:space="preserve">A limitation of the study is its focus on English-speaking participants, which may restrict the generalizability of the findings. This approach was necessary for ensuring comparability with other groups in the NZAVS, but a future qualitative follow-up study could aim to include non-English speakers and further broaden the scope of the research.</w:t>
      </w:r>
    </w:p>
    <w:p>
      <w:pPr>
        <w:pStyle w:val="BodyText"/>
      </w:pPr>
      <w:r>
        <w:t xml:space="preserve">Another challenge was the length of the questionnaires, which may have affected overall participation and completion rates. However, gathering detailed data on these variables was deemed essential for enhancing the NZAVS dataset and making meaningful comparisons across religious groups.</w:t>
      </w:r>
    </w:p>
    <w:p>
      <w:pPr>
        <w:pStyle w:val="BodyText"/>
      </w:pPr>
      <w:r>
        <w:t xml:space="preserve">Finally, because MDS follows the same structure as the NZAVS, some survey items may not be fully culturally compatible with the attitudes and beliefs of the Muslim community. However, feedback from the Advisory Group indicated that these items did not need to be removed, as they were considered important for the overall study framework.</w:t>
      </w:r>
    </w:p>
    <w:bookmarkEnd w:id="153"/>
    <w:bookmarkStart w:id="154" w:name="application-and-implications"/>
    <w:p>
      <w:pPr>
        <w:pStyle w:val="Heading2"/>
      </w:pPr>
      <w:r>
        <w:t xml:space="preserve">Application and implications</w:t>
      </w:r>
    </w:p>
    <w:p>
      <w:pPr>
        <w:pStyle w:val="FirstParagraph"/>
      </w:pPr>
      <w:r>
        <w:t xml:space="preserve">This research enables Muslims in New Zealand to be active participants in shaping their unique identity. This identity not only encapsulates the diverse ethnocultural societies within the New Zealand Muslim community, but also allows for the formation of a distinct national identity. Often research used to drive policy and intervention targeted at New Zealand Muslims is informed by research undertaken on Muslim communities overseas. Whilst there are many comparable similarities between Muslims worldwide, their everyday life experiences are heavily shaped by the society in which a Muslim resides in. Furthermore, the strengthening of this identity can facilitate greater in-group understanding, connection, and belonging to New Zealand.</w:t>
      </w:r>
    </w:p>
    <w:p>
      <w:pPr>
        <w:pStyle w:val="BodyText"/>
      </w:pPr>
      <w:r>
        <w:t xml:space="preserve">This research also has the potential for the Muslim voice to have a greater influence on public perception of Muslims in New Zealand. The visible Muslim voice in many parts of the western world is often reactionary to political events, discriminatory experiences, or accusations of terror. Greater understanding and public discourse of lived experiences of Muslims in New Zealand one allows for a more accurate understanding of these experiences, and two, facilitates a shift in how Muslim voices are</w:t>
      </w:r>
      <w:r>
        <w:t xml:space="preserve"> </w:t>
      </w:r>
      <w:r>
        <w:t xml:space="preserve">‘</w:t>
      </w:r>
      <w:r>
        <w:t xml:space="preserve">allowed</w:t>
      </w:r>
      <w:r>
        <w:t xml:space="preserve">’</w:t>
      </w:r>
      <w:r>
        <w:t xml:space="preserve"> </w:t>
      </w:r>
      <w:r>
        <w:t xml:space="preserve">to participate in society.</w:t>
      </w:r>
    </w:p>
    <w:p>
      <w:pPr>
        <w:pStyle w:val="BodyText"/>
      </w:pPr>
      <w:r>
        <w:t xml:space="preserve">This research can also inform international discourse on the experiences of Muslim immigrants, and their views and beliefs on their country of residence.</w:t>
      </w:r>
      <w:r>
        <w:t xml:space="preserve"> </w:t>
      </w:r>
      <w:r>
        <w:t xml:space="preserve">Stockemer and Moreau (</w:t>
      </w:r>
      <w:hyperlink w:anchor="ref-stockemer2021">
        <w:r>
          <w:rPr>
            <w:rStyle w:val="Hyperlink"/>
          </w:rPr>
          <w:t xml:space="preserve">2021</w:t>
        </w:r>
      </w:hyperlink>
      <w:r>
        <w:t xml:space="preserve">)</w:t>
      </w:r>
      <w:r>
        <w:t xml:space="preserve"> </w:t>
      </w:r>
      <w:r>
        <w:t xml:space="preserve">completed a comprehensive review on studies focused on Muslim immigrants’ sense of belonging and identity; results reflected this varied greatly depending on the country of residence at a macro-level, and personal education at the micro-level.</w:t>
      </w:r>
    </w:p>
    <w:p>
      <w:pPr>
        <w:pStyle w:val="BodyText"/>
      </w:pPr>
      <w:r>
        <w:t xml:space="preserve">It allows Muslim to have an active, data informed input in shaping policies and intervention targeted at their wellbeing and livelihood; this is especially significant in the aftermath of the March 15th terror attacks targeting Muslims in New Zealand. Research highlights significant long term mental health distress and vulnerability for individuals directly impacted by the attacks.</w:t>
      </w:r>
    </w:p>
    <w:p>
      <w:pPr>
        <w:pStyle w:val="BodyText"/>
      </w:pPr>
      <w:r>
        <w:t xml:space="preserve">Insights from the findings could be used as a form of policy advocacy in two ways: first, by engaging with policymakers to advocate for policies that address discrimination and promote inclusivity. This could involve working with local governments and organisations to ensure that the voices of Muslims are heard in policymaking and in organising safety and security initiatives. Second, by collaborating with law enforcement to create safety initiatives that ensure the wellbeing of Muslim communities.</w:t>
      </w:r>
    </w:p>
    <w:p>
      <w:pPr>
        <w:pStyle w:val="BodyText"/>
      </w:pPr>
      <w:r>
        <w:t xml:space="preserve">Policymakers can use our findings to develop more effective and equitable policies that better address the needs and rights of Muslim communities. For instance, understanding the impact of community ties and religiosity on the resilience of Muslim communities can guide the government in creating support programmes that strengthen these aspects.</w:t>
      </w:r>
    </w:p>
    <w:p>
      <w:pPr>
        <w:pStyle w:val="BodyText"/>
      </w:pPr>
      <w:r>
        <w:t xml:space="preserve">Findings from this study can contribute to government strategies that focus on adaptability and change while engaging with the Muslim community to encourage bonding, bridging, and linking social capital where possible.</w:t>
      </w:r>
    </w:p>
    <w:p>
      <w:pPr>
        <w:pStyle w:val="BodyText"/>
      </w:pPr>
      <w:r>
        <w:t xml:space="preserve">Research also highlights the psychological impact that the terror attacks had on wider Muslim communities in New Zealand, who viewed the attack to be of a personal nature through a shared identity with the targeted victims of the attacks</w:t>
      </w:r>
      <w:r>
        <w:t xml:space="preserve"> </w:t>
      </w:r>
      <w:r>
        <w:t xml:space="preserve">(</w:t>
      </w:r>
      <w:hyperlink w:anchor="ref-nasier2023">
        <w:r>
          <w:rPr>
            <w:rStyle w:val="Hyperlink"/>
          </w:rPr>
          <w:t xml:space="preserve">Nasier, 2023</w:t>
        </w:r>
      </w:hyperlink>
      <w:r>
        <w:t xml:space="preserve">)</w:t>
      </w:r>
      <w:r>
        <w:t xml:space="preserve">. This poses significant responsibility on the health system in New Zealand to be equipped to meet the ongoing and long-term needs of New Zealanders impacted by terror. This research can provide valuable insights into the Muslim community, facilitating the development of interventions that are effectively tailored to meet their needs.</w:t>
      </w:r>
    </w:p>
    <w:p>
      <w:pPr>
        <w:pStyle w:val="BodyText"/>
      </w:pPr>
      <w:r>
        <w:t xml:space="preserve">Practically, the findings could guide the development of targeted interventions aimed at reducing Islamophobia and supporting the Muslim community in New Zealand. Since</w:t>
      </w:r>
      <w:r>
        <w:t xml:space="preserve"> </w:t>
      </w:r>
      <w:r>
        <w:t xml:space="preserve">“</w:t>
      </w:r>
      <w:r>
        <w:t xml:space="preserve">programmes are the instruments, governments use to implement a policy or achieve a particular outcome</w:t>
      </w:r>
      <w:r>
        <w:t xml:space="preserve">”</w:t>
      </w:r>
      <w:r>
        <w:t xml:space="preserve"> </w:t>
      </w:r>
      <w:r>
        <w:t xml:space="preserve">(</w:t>
      </w:r>
      <w:hyperlink w:anchor="ref-rose1991">
        <w:r>
          <w:rPr>
            <w:rStyle w:val="Hyperlink"/>
          </w:rPr>
          <w:t xml:space="preserve">Rose, 1991</w:t>
        </w:r>
      </w:hyperlink>
      <w:r>
        <w:t xml:space="preserve">)</w:t>
      </w:r>
      <w:r>
        <w:t xml:space="preserve">, community-based programmes that strengthen social ties and religious practices could be designed to buffer against anti-Muslim prejudice. Insights from the findings could further pave the way for organising public forums and discussions to bring together Muslims and non-Muslims to address issues of discrimination, resilience, and community wellbeing, with the aim of fostering dialogue and understanding.</w:t>
      </w:r>
    </w:p>
    <w:p>
      <w:pPr>
        <w:pStyle w:val="BodyText"/>
      </w:pPr>
      <w:r>
        <w:t xml:space="preserve">The findings could also inform policy regarding the need for targeted anti-discrimination measures. As the research has provided insights into the challenges faced by Muslims in employment and health, it is expected that targeted interventions to improve these areas for members of the Muslim communities should be policy priorities for the government. Muslims in New Zealand are diverse and the Muslim community organisations have been actively working with local and central governments to provide advice and input regarding ethnic communities</w:t>
      </w:r>
      <w:r>
        <w:t xml:space="preserve"> </w:t>
      </w:r>
      <w:r>
        <w:t xml:space="preserve">(</w:t>
      </w:r>
      <w:hyperlink w:anchor="ref-fianz2024">
        <w:r>
          <w:rPr>
            <w:rStyle w:val="Hyperlink"/>
            <w:iCs/>
            <w:i/>
          </w:rPr>
          <w:t xml:space="preserve">Federation of Islamic Associations of New Zealand</w:t>
        </w:r>
        <w:r>
          <w:rPr>
            <w:rStyle w:val="Hyperlink"/>
          </w:rPr>
          <w:t xml:space="preserve">, 2024</w:t>
        </w:r>
      </w:hyperlink>
      <w:r>
        <w:t xml:space="preserve">;</w:t>
      </w:r>
      <w:r>
        <w:t xml:space="preserve"> </w:t>
      </w:r>
      <w:hyperlink w:anchor="ref-nzma2024">
        <w:r>
          <w:rPr>
            <w:rStyle w:val="Hyperlink"/>
            <w:iCs/>
            <w:i/>
          </w:rPr>
          <w:t xml:space="preserve">New Zealand Muslim Association</w:t>
        </w:r>
        <w:r>
          <w:rPr>
            <w:rStyle w:val="Hyperlink"/>
          </w:rPr>
          <w:t xml:space="preserve">, 2024</w:t>
        </w:r>
      </w:hyperlink>
      <w:r>
        <w:t xml:space="preserve">)</w:t>
      </w:r>
      <w:r>
        <w:t xml:space="preserve">. However, it should be noted that while it may be regarded as illusory to develop policies, programmes, and practices that purport to be</w:t>
      </w:r>
      <w:r>
        <w:t xml:space="preserve"> </w:t>
      </w:r>
      <w:r>
        <w:t xml:space="preserve">“</w:t>
      </w:r>
      <w:r>
        <w:t xml:space="preserve">blind</w:t>
      </w:r>
      <w:r>
        <w:t xml:space="preserve">”</w:t>
      </w:r>
      <w:r>
        <w:t xml:space="preserve"> </w:t>
      </w:r>
      <w:r>
        <w:t xml:space="preserve">to race and ethnicity</w:t>
      </w:r>
      <w:r>
        <w:t xml:space="preserve"> </w:t>
      </w:r>
      <w:r>
        <w:t xml:space="preserve">(</w:t>
      </w:r>
      <w:hyperlink w:anchor="ref-durie2005">
        <w:r>
          <w:rPr>
            <w:rStyle w:val="Hyperlink"/>
          </w:rPr>
          <w:t xml:space="preserve">Durie, 2005</w:t>
        </w:r>
      </w:hyperlink>
      <w:r>
        <w:t xml:space="preserve">)</w:t>
      </w:r>
      <w:r>
        <w:t xml:space="preserve">, socio-economic measures addressing discrimination among Muslims in New Zealand should be tailored to the communities, considering their religious characteristics alongside their ethnicities or races.</w:t>
      </w:r>
    </w:p>
    <w:p>
      <w:pPr>
        <w:pStyle w:val="BodyText"/>
      </w:pPr>
      <w:r>
        <w:t xml:space="preserve">Regarding socio-economic concerns, the practical applications of the study’s findings can be seen in interventions focusing on employment and economic support, such as creating programmes that assist Muslims in navigating the job market and addressing the unique challenges they face. This could include mentorship programmes, skills training, and networking opportunities. Additionally, partnerships between local businesses and Muslim community organizations could promote diversity in hiring practices and support entrepreneurs. Culturally sensitive mental health initiatives that are visible within Muslim communities and tailored to their cultural and religious needs would also be effective programmes.</w:t>
      </w:r>
    </w:p>
    <w:bookmarkEnd w:id="154"/>
    <w:bookmarkStart w:id="155" w:name="conclusion"/>
    <w:p>
      <w:pPr>
        <w:pStyle w:val="Heading2"/>
      </w:pPr>
      <w:r>
        <w:t xml:space="preserve">Conclusion</w:t>
      </w:r>
    </w:p>
    <w:p>
      <w:pPr>
        <w:pStyle w:val="FirstParagraph"/>
      </w:pPr>
      <w:r>
        <w:t xml:space="preserve">MDS is a crucial booster for the NZAVS because not only it addresses the under-representation of Muslim in NZVAS, but it only helps us answer many questions about Muslims’ self-perception, meaning-making, flourishing, religiosity, and health outcomes. We have provided a preliminary guideline of working with a minoritised religious community in a culturally sensitive manner.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55"/>
    <w:bookmarkEnd w:id="156"/>
    <w:bookmarkStart w:id="246" w:name="references"/>
    <w:p>
      <w:pPr>
        <w:pStyle w:val="Heading1"/>
      </w:pPr>
      <w:r>
        <w:t xml:space="preserve">References</w:t>
      </w:r>
    </w:p>
    <w:bookmarkStart w:id="220" w:name="refs"/>
    <w:bookmarkStart w:id="158" w:name="ref-religi2024"/>
    <w:p>
      <w:pPr>
        <w:pStyle w:val="Bibliography"/>
      </w:pPr>
      <w:r>
        <w:rPr>
          <w:iCs/>
          <w:i/>
        </w:rPr>
        <w:t xml:space="preserve">2023</w:t>
      </w:r>
      <w:r>
        <w:rPr>
          <w:iCs/>
          <w:i/>
        </w:rPr>
        <w:t xml:space="preserve"> </w:t>
      </w:r>
      <w:r>
        <w:rPr>
          <w:iCs/>
          <w:i/>
        </w:rPr>
        <w:t xml:space="preserve">C</w:t>
      </w:r>
      <w:r>
        <w:rPr>
          <w:iCs/>
          <w:i/>
        </w:rPr>
        <w:t xml:space="preserve">ensus</w:t>
      </w:r>
      <w:r>
        <w:rPr>
          <w:iCs/>
          <w:i/>
        </w:rPr>
        <w:t xml:space="preserve"> </w:t>
      </w:r>
      <w:r>
        <w:rPr>
          <w:iCs/>
          <w:i/>
        </w:rPr>
        <w:t xml:space="preserve">P</w:t>
      </w:r>
      <w:r>
        <w:rPr>
          <w:iCs/>
          <w:i/>
        </w:rPr>
        <w:t xml:space="preserve">opulation,</w:t>
      </w:r>
      <w:r>
        <w:rPr>
          <w:iCs/>
          <w:i/>
        </w:rPr>
        <w:t xml:space="preserve"> </w:t>
      </w:r>
      <w:r>
        <w:rPr>
          <w:iCs/>
          <w:i/>
        </w:rPr>
        <w:t xml:space="preserve">D</w:t>
      </w:r>
      <w:r>
        <w:rPr>
          <w:iCs/>
          <w:i/>
        </w:rPr>
        <w:t xml:space="preserve">welling, and</w:t>
      </w:r>
      <w:r>
        <w:rPr>
          <w:iCs/>
          <w:i/>
        </w:rPr>
        <w:t xml:space="preserve"> </w:t>
      </w:r>
      <w:r>
        <w:rPr>
          <w:iCs/>
          <w:i/>
        </w:rPr>
        <w:t xml:space="preserve">H</w:t>
      </w:r>
      <w:r>
        <w:rPr>
          <w:iCs/>
          <w:i/>
        </w:rPr>
        <w:t xml:space="preserve">ousing</w:t>
      </w:r>
      <w:r>
        <w:rPr>
          <w:iCs/>
          <w:i/>
        </w:rPr>
        <w:t xml:space="preserve"> </w:t>
      </w:r>
      <w:r>
        <w:rPr>
          <w:iCs/>
          <w:i/>
        </w:rPr>
        <w:t xml:space="preserve">H</w:t>
      </w:r>
      <w:r>
        <w:rPr>
          <w:iCs/>
          <w:i/>
        </w:rPr>
        <w:t xml:space="preserve">ighlights</w:t>
      </w:r>
      <w:r>
        <w:t xml:space="preserve">. (2024).</w:t>
      </w:r>
      <w:r>
        <w:t xml:space="preserve"> </w:t>
      </w:r>
      <w:hyperlink r:id="rId157">
        <w:r>
          <w:rPr>
            <w:rStyle w:val="Hyperlink"/>
          </w:rPr>
          <w:t xml:space="preserve">https://www.stats.govt.nz/information-releases/2023-census-population-dwelling-and-housing-highlights/</w:t>
        </w:r>
      </w:hyperlink>
    </w:p>
    <w:bookmarkEnd w:id="158"/>
    <w:bookmarkStart w:id="160" w:name="ref-afzali2024"/>
    <w:p>
      <w:pPr>
        <w:pStyle w:val="Bibliography"/>
      </w:pPr>
      <w:r>
        <w:t xml:space="preserve">Afzali, U. (2024). Enablers and challengers of collecting data from muslim community in aotearoa new zealand.</w:t>
      </w:r>
      <w:r>
        <w:t xml:space="preserve"> </w:t>
      </w:r>
      <w:r>
        <w:rPr>
          <w:iCs/>
          <w:i/>
        </w:rPr>
        <w:t xml:space="preserve">OSF</w:t>
      </w:r>
      <w:r>
        <w:t xml:space="preserve">.</w:t>
      </w:r>
      <w:r>
        <w:t xml:space="preserve"> </w:t>
      </w:r>
      <w:hyperlink r:id="rId159">
        <w:r>
          <w:rPr>
            <w:rStyle w:val="Hyperlink"/>
          </w:rPr>
          <w:t xml:space="preserve">https://doi.org/10.17605/OSF.IO/8F36H</w:t>
        </w:r>
      </w:hyperlink>
    </w:p>
    <w:bookmarkEnd w:id="160"/>
    <w:bookmarkStart w:id="162"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61">
        <w:r>
          <w:rPr>
            <w:rStyle w:val="Hyperlink"/>
          </w:rPr>
          <w:t xml:space="preserve">http://newsroom.co.nz/2020/08/18/what-is-islams-appeal-to-maori/</w:t>
        </w:r>
      </w:hyperlink>
    </w:p>
    <w:bookmarkEnd w:id="162"/>
    <w:bookmarkStart w:id="163"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63"/>
    <w:bookmarkStart w:id="164"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64"/>
    <w:bookmarkStart w:id="166"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65">
        <w:r>
          <w:rPr>
            <w:rStyle w:val="Hyperlink"/>
          </w:rPr>
          <w:t xml:space="preserve">https://doi.org/10.1093/pnasnexus/pgad242</w:t>
        </w:r>
      </w:hyperlink>
    </w:p>
    <w:bookmarkEnd w:id="166"/>
    <w:bookmarkStart w:id="168"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67">
        <w:r>
          <w:rPr>
            <w:rStyle w:val="Hyperlink"/>
          </w:rPr>
          <w:t xml:space="preserve">https://doi.org/10.1038/s41598-022-05678-x</w:t>
        </w:r>
      </w:hyperlink>
    </w:p>
    <w:bookmarkEnd w:id="168"/>
    <w:bookmarkStart w:id="169"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69"/>
    <w:bookmarkStart w:id="171" w:name="ref-durie2005"/>
    <w:p>
      <w:pPr>
        <w:pStyle w:val="Bibliography"/>
      </w:pPr>
      <w:r>
        <w:t xml:space="preserve">Durie, M. (2005). Race and Ethnicity in Public Policy: Does it Work?</w:t>
      </w:r>
      <w:r>
        <w:t xml:space="preserve"> </w:t>
      </w:r>
      <w:r>
        <w:rPr>
          <w:iCs/>
          <w:i/>
        </w:rPr>
        <w:t xml:space="preserve">Social Policy Journal of New Zealand Te Puna Whakaaro</w:t>
      </w:r>
      <w:r>
        <w:t xml:space="preserve">,</w:t>
      </w:r>
      <w:r>
        <w:t xml:space="preserve"> </w:t>
      </w:r>
      <w:r>
        <w:rPr>
          <w:iCs/>
          <w:i/>
        </w:rPr>
        <w:t xml:space="preserve">24</w:t>
      </w:r>
      <w:r>
        <w:t xml:space="preserve">, 1–11.</w:t>
      </w:r>
      <w:r>
        <w:t xml:space="preserve"> </w:t>
      </w:r>
      <w:hyperlink r:id="rId170">
        <w:r>
          <w:rPr>
            <w:rStyle w:val="Hyperlink"/>
          </w:rPr>
          <w:t xml:space="preserve">https://www.msd.govt.nz/about-msd-and-our-work/publications-resources/journals-and-magazines/social-policy-journal/spj24/24-race-and-ethnicity-in-public-policydoes-it-work-p1-11.html</w:t>
        </w:r>
      </w:hyperlink>
    </w:p>
    <w:bookmarkEnd w:id="171"/>
    <w:bookmarkStart w:id="173" w:name="ref-fianz2024"/>
    <w:p>
      <w:pPr>
        <w:pStyle w:val="Bibliography"/>
      </w:pPr>
      <w:r>
        <w:rPr>
          <w:iCs/>
          <w:i/>
        </w:rPr>
        <w:t xml:space="preserve">Federation of Islamic Associations of New Zealand</w:t>
      </w:r>
      <w:r>
        <w:t xml:space="preserve">. (2024).</w:t>
      </w:r>
      <w:r>
        <w:t xml:space="preserve"> </w:t>
      </w:r>
      <w:hyperlink r:id="rId172">
        <w:r>
          <w:rPr>
            <w:rStyle w:val="Hyperlink"/>
          </w:rPr>
          <w:t xml:space="preserve">https://fianz.com/general-advocacy/</w:t>
        </w:r>
      </w:hyperlink>
    </w:p>
    <w:bookmarkEnd w:id="173"/>
    <w:bookmarkStart w:id="175"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74">
        <w:r>
          <w:rPr>
            <w:rStyle w:val="Hyperlink"/>
          </w:rPr>
          <w:t xml:space="preserve">https://www.1news.co.nz/2023/03/12/online-hate-towards-muslims-increasing-since-mosque-attacks/</w:t>
        </w:r>
      </w:hyperlink>
    </w:p>
    <w:bookmarkEnd w:id="175"/>
    <w:bookmarkStart w:id="177"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76">
        <w:r>
          <w:rPr>
            <w:rStyle w:val="Hyperlink"/>
          </w:rPr>
          <w:t xml:space="preserve">https://doi.org/10.1080/1177083x.2020.1733032</w:t>
        </w:r>
      </w:hyperlink>
    </w:p>
    <w:bookmarkEnd w:id="177"/>
    <w:bookmarkStart w:id="178"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78"/>
    <w:bookmarkStart w:id="180"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79">
        <w:r>
          <w:rPr>
            <w:rStyle w:val="Hyperlink"/>
          </w:rPr>
          <w:t xml:space="preserve">https://www.rnz.co.nz/news/national/463304/islamophobia-after-christchurch-terror-attacks-quadrupled-australian-report</w:t>
        </w:r>
      </w:hyperlink>
    </w:p>
    <w:bookmarkEnd w:id="180"/>
    <w:bookmarkStart w:id="182"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 ’One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81">
        <w:r>
          <w:rPr>
            <w:rStyle w:val="Hyperlink"/>
          </w:rPr>
          <w:t xml:space="preserve">https://www.theguardian.com/world/2019/mar/15/one-of-new-zealands-darkest-days-jacinda-ardern-responds-to-christchurch-shooting</w:t>
        </w:r>
      </w:hyperlink>
    </w:p>
    <w:bookmarkEnd w:id="182"/>
    <w:bookmarkStart w:id="184"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83">
        <w:r>
          <w:rPr>
            <w:rStyle w:val="Hyperlink"/>
          </w:rPr>
          <w:t xml:space="preserve">https://doi.org/10.13140/RG.2.2.12693.74725/1</w:t>
        </w:r>
      </w:hyperlink>
    </w:p>
    <w:bookmarkEnd w:id="184"/>
    <w:bookmarkStart w:id="186"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85">
        <w:r>
          <w:rPr>
            <w:rStyle w:val="Hyperlink"/>
          </w:rPr>
          <w:t xml:space="preserve">https://doi.org/10.1386/jammr_00077_1</w:t>
        </w:r>
      </w:hyperlink>
    </w:p>
    <w:bookmarkEnd w:id="186"/>
    <w:bookmarkStart w:id="188"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87">
        <w:r>
          <w:rPr>
            <w:rStyle w:val="Hyperlink"/>
          </w:rPr>
          <w:t xml:space="preserve">https://doi.org/10.1002/mpr.310</w:t>
        </w:r>
      </w:hyperlink>
    </w:p>
    <w:bookmarkEnd w:id="188"/>
    <w:bookmarkStart w:id="189" w:name="ref-nasier2023"/>
    <w:p>
      <w:pPr>
        <w:pStyle w:val="Bibliography"/>
      </w:pPr>
      <w:r>
        <w:t xml:space="preserve">Nasier, B. A. (2023).</w:t>
      </w:r>
      <w:r>
        <w:t xml:space="preserve"> </w:t>
      </w:r>
      <w:r>
        <w:rPr>
          <w:iCs/>
          <w:i/>
        </w:rPr>
        <w:t xml:space="preserve">“This is</w:t>
      </w:r>
      <w:r>
        <w:rPr>
          <w:iCs/>
          <w:i/>
        </w:rPr>
        <w:t xml:space="preserve"> </w:t>
      </w:r>
      <w:r>
        <w:rPr>
          <w:iCs/>
          <w:i/>
        </w:rPr>
        <w:t xml:space="preserve">U</w:t>
      </w:r>
      <w:r>
        <w:rPr>
          <w:iCs/>
          <w:i/>
        </w:rPr>
        <w:t xml:space="preserve">s”</w:t>
      </w:r>
      <w:r>
        <w:rPr>
          <w:iCs/>
          <w:i/>
        </w:rPr>
        <w:t xml:space="preserve">:</w:t>
      </w:r>
      <w:r>
        <w:rPr>
          <w:iCs/>
          <w:i/>
        </w:rPr>
        <w:t xml:space="preserve"> </w:t>
      </w:r>
      <w:r>
        <w:rPr>
          <w:iCs/>
          <w:i/>
        </w:rPr>
        <w:t xml:space="preserve">Y</w:t>
      </w:r>
      <w:r>
        <w:rPr>
          <w:iCs/>
          <w:i/>
        </w:rPr>
        <w:t xml:space="preserve">oung</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rPr>
          <w:iCs/>
          <w:i/>
        </w:rPr>
        <w:t xml:space="preserve"> </w:t>
      </w:r>
      <w:r>
        <w:rPr>
          <w:iCs/>
          <w:i/>
        </w:rPr>
        <w:t xml:space="preserve">M</w:t>
      </w:r>
      <w:r>
        <w:rPr>
          <w:iCs/>
          <w:i/>
        </w:rPr>
        <w:t xml:space="preserve">uslims’ responses to the</w:t>
      </w:r>
      <w:r>
        <w:rPr>
          <w:iCs/>
          <w:i/>
        </w:rPr>
        <w:t xml:space="preserve"> </w:t>
      </w:r>
      <w:r>
        <w:rPr>
          <w:iCs/>
          <w:i/>
        </w:rPr>
        <w:t xml:space="preserve">M</w:t>
      </w:r>
      <w:r>
        <w:rPr>
          <w:iCs/>
          <w:i/>
        </w:rPr>
        <w:t xml:space="preserve">arch 15th</w:t>
      </w:r>
      <w:r>
        <w:rPr>
          <w:iCs/>
          <w:i/>
        </w:rPr>
        <w:t xml:space="preserve"> </w:t>
      </w:r>
      <w:r>
        <w:rPr>
          <w:iCs/>
          <w:i/>
        </w:rPr>
        <w:t xml:space="preserve">T</w:t>
      </w:r>
      <w:r>
        <w:rPr>
          <w:iCs/>
          <w:i/>
        </w:rPr>
        <w:t xml:space="preserve">errorist</w:t>
      </w:r>
      <w:r>
        <w:rPr>
          <w:iCs/>
          <w:i/>
        </w:rPr>
        <w:t xml:space="preserve"> </w:t>
      </w:r>
      <w:r>
        <w:rPr>
          <w:iCs/>
          <w:i/>
        </w:rPr>
        <w:t xml:space="preserve">A</w:t>
      </w:r>
      <w:r>
        <w:rPr>
          <w:iCs/>
          <w:i/>
        </w:rPr>
        <w:t xml:space="preserve">ttacks in</w:t>
      </w:r>
      <w:r>
        <w:rPr>
          <w:iCs/>
          <w:i/>
        </w:rPr>
        <w:t xml:space="preserve"> </w:t>
      </w:r>
      <w:r>
        <w:rPr>
          <w:iCs/>
          <w:i/>
        </w:rPr>
        <w:t xml:space="preserve">C</w:t>
      </w:r>
      <w:r>
        <w:rPr>
          <w:iCs/>
          <w:i/>
        </w:rPr>
        <w:t xml:space="preserve">hristchurch</w:t>
      </w:r>
      <w:r>
        <w:t xml:space="preserve"> </w:t>
      </w:r>
      <w:r>
        <w:t xml:space="preserve">[PhD thesis].</w:t>
      </w:r>
    </w:p>
    <w:bookmarkEnd w:id="189"/>
    <w:bookmarkStart w:id="191" w:name="ref-nzma2024"/>
    <w:p>
      <w:pPr>
        <w:pStyle w:val="Bibliography"/>
      </w:pPr>
      <w:r>
        <w:rPr>
          <w:iCs/>
          <w:i/>
        </w:rPr>
        <w:t xml:space="preserve">New Zealand Muslim Association</w:t>
      </w:r>
      <w:r>
        <w:t xml:space="preserve">. (2024).</w:t>
      </w:r>
      <w:r>
        <w:t xml:space="preserve"> </w:t>
      </w:r>
      <w:hyperlink r:id="rId190">
        <w:r>
          <w:rPr>
            <w:rStyle w:val="Hyperlink"/>
          </w:rPr>
          <w:t xml:space="preserve">https://www.ethniccommunities.govt.nz/community-directory/show/1170</w:t>
        </w:r>
      </w:hyperlink>
    </w:p>
    <w:bookmarkEnd w:id="191"/>
    <w:bookmarkStart w:id="193"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92">
        <w:r>
          <w:rPr>
            <w:rStyle w:val="Hyperlink"/>
          </w:rPr>
          <w:t xml:space="preserve">https://www.rnz.co.nz/news/on-the-inside/384911/islamic-women-s-council-repeatedly-lobbied-to-stem-discrimination</w:t>
        </w:r>
      </w:hyperlink>
    </w:p>
    <w:bookmarkEnd w:id="193"/>
    <w:bookmarkStart w:id="195"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94">
        <w:r>
          <w:rPr>
            <w:rStyle w:val="Hyperlink"/>
          </w:rPr>
          <w:t xml:space="preserve">https://doi.org/10.1080/1177083x.2020.1747503</w:t>
        </w:r>
      </w:hyperlink>
    </w:p>
    <w:bookmarkEnd w:id="195"/>
    <w:bookmarkStart w:id="196"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96"/>
    <w:bookmarkStart w:id="198" w:name="ref-rose1991"/>
    <w:p>
      <w:pPr>
        <w:pStyle w:val="Bibliography"/>
      </w:pPr>
      <w:r>
        <w:t xml:space="preserve">Rose, R. (1991). What is Lesson-Drawing?</w:t>
      </w:r>
      <w:r>
        <w:t xml:space="preserve"> </w:t>
      </w:r>
      <w:r>
        <w:rPr>
          <w:iCs/>
          <w:i/>
        </w:rPr>
        <w:t xml:space="preserve">Journal of Public Policy</w:t>
      </w:r>
      <w:r>
        <w:t xml:space="preserve">,</w:t>
      </w:r>
      <w:r>
        <w:t xml:space="preserve"> </w:t>
      </w:r>
      <w:r>
        <w:rPr>
          <w:iCs/>
          <w:i/>
        </w:rPr>
        <w:t xml:space="preserve">11</w:t>
      </w:r>
      <w:r>
        <w:t xml:space="preserve">(1), 3–30.</w:t>
      </w:r>
      <w:r>
        <w:t xml:space="preserve"> </w:t>
      </w:r>
      <w:hyperlink r:id="rId197">
        <w:r>
          <w:rPr>
            <w:rStyle w:val="Hyperlink"/>
          </w:rPr>
          <w:t xml:space="preserve">https://doi.org/10.1017/s0143814x00004918</w:t>
        </w:r>
      </w:hyperlink>
    </w:p>
    <w:bookmarkEnd w:id="198"/>
    <w:bookmarkStart w:id="200"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199">
        <w:r>
          <w:rPr>
            <w:rStyle w:val="Hyperlink"/>
          </w:rPr>
          <w:t xml:space="preserve">https://christchurchattack.royalcommission.nz</w:t>
        </w:r>
      </w:hyperlink>
    </w:p>
    <w:bookmarkEnd w:id="200"/>
    <w:bookmarkStart w:id="201"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201"/>
    <w:bookmarkStart w:id="203"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202">
        <w:r>
          <w:rPr>
            <w:rStyle w:val="Hyperlink"/>
          </w:rPr>
          <w:t xml:space="preserve">https://doi.org/10.1371/journal.pone.0174606</w:t>
        </w:r>
      </w:hyperlink>
    </w:p>
    <w:bookmarkEnd w:id="203"/>
    <w:bookmarkStart w:id="204"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47">
        <w:r>
          <w:rPr>
            <w:rStyle w:val="Hyperlink"/>
          </w:rPr>
          <w:t xml:space="preserve">https://osf.io/75snb/wiki/home/</w:t>
        </w:r>
      </w:hyperlink>
    </w:p>
    <w:bookmarkEnd w:id="204"/>
    <w:bookmarkStart w:id="205"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205"/>
    <w:bookmarkStart w:id="206"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206"/>
    <w:bookmarkStart w:id="208" w:name="ref-statsnz2024"/>
    <w:p>
      <w:pPr>
        <w:pStyle w:val="Bibliography"/>
      </w:pPr>
      <w:r>
        <w:rPr>
          <w:iCs/>
          <w:i/>
        </w:rPr>
        <w:t xml:space="preserve">Stats NZ</w:t>
      </w:r>
      <w:r>
        <w:t xml:space="preserve">. (2024).</w:t>
      </w:r>
      <w:r>
        <w:t xml:space="preserve"> </w:t>
      </w:r>
      <w:hyperlink r:id="rId207">
        <w:r>
          <w:rPr>
            <w:rStyle w:val="Hyperlink"/>
          </w:rPr>
          <w:t xml:space="preserve">https://www.stats.govt.nz/</w:t>
        </w:r>
      </w:hyperlink>
    </w:p>
    <w:bookmarkEnd w:id="208"/>
    <w:bookmarkStart w:id="210" w:name="ref-stockemer2021"/>
    <w:p>
      <w:pPr>
        <w:pStyle w:val="Bibliography"/>
      </w:pPr>
      <w:r>
        <w:t xml:space="preserve">Stockemer, D., &amp; Moreau, S. (2021). Muslim immigrants’ sense of identity and belonging in the Western world: A comprehensive review.</w:t>
      </w:r>
      <w:r>
        <w:t xml:space="preserve"> </w:t>
      </w:r>
      <w:r>
        <w:rPr>
          <w:iCs/>
          <w:i/>
        </w:rPr>
        <w:t xml:space="preserve">Nations and Nationalism</w:t>
      </w:r>
      <w:r>
        <w:t xml:space="preserve">,</w:t>
      </w:r>
      <w:r>
        <w:t xml:space="preserve"> </w:t>
      </w:r>
      <w:r>
        <w:rPr>
          <w:iCs/>
          <w:i/>
        </w:rPr>
        <w:t xml:space="preserve">27</w:t>
      </w:r>
      <w:r>
        <w:t xml:space="preserve">(1), 223–237.</w:t>
      </w:r>
      <w:r>
        <w:t xml:space="preserve"> </w:t>
      </w:r>
      <w:hyperlink r:id="rId209">
        <w:r>
          <w:rPr>
            <w:rStyle w:val="Hyperlink"/>
          </w:rPr>
          <w:t xml:space="preserve">https://doi.org/10.1111/nana.12691</w:t>
        </w:r>
      </w:hyperlink>
    </w:p>
    <w:bookmarkEnd w:id="210"/>
    <w:bookmarkStart w:id="212"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211">
        <w:r>
          <w:rPr>
            <w:rStyle w:val="Hyperlink"/>
          </w:rPr>
          <w:t xml:space="preserve">https://doi.org/10.1192/bjo.2023.641</w:t>
        </w:r>
      </w:hyperlink>
    </w:p>
    <w:bookmarkEnd w:id="212"/>
    <w:bookmarkStart w:id="213"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213"/>
    <w:bookmarkStart w:id="214" w:name="ref-thenew2016"/>
    <w:p>
      <w:pPr>
        <w:pStyle w:val="Bibliography"/>
      </w:pPr>
      <w:r>
        <w:rPr>
          <w:iCs/>
          <w:i/>
        </w:rPr>
        <w:t xml:space="preserve">The New Zealand Qualifications Framework</w:t>
      </w:r>
      <w:r>
        <w:t xml:space="preserve">. (2016).</w:t>
      </w:r>
    </w:p>
    <w:bookmarkEnd w:id="214"/>
    <w:bookmarkStart w:id="216"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215">
        <w:r>
          <w:rPr>
            <w:rStyle w:val="Hyperlink"/>
          </w:rPr>
          <w:t xml:space="preserve">http://theconversation.com/hate-crimes-against-muslims-spiked-after-the-mosque-attacks-and-ardern-promises-to-make-such-abuse-illegal-147347</w:t>
        </w:r>
      </w:hyperlink>
    </w:p>
    <w:bookmarkEnd w:id="216"/>
    <w:bookmarkStart w:id="218" w:name="ref-worldle2019"/>
    <w:p>
      <w:pPr>
        <w:pStyle w:val="Bibliography"/>
      </w:pPr>
      <w:r>
        <w:rPr>
          <w:iCs/>
          <w:i/>
        </w:rPr>
        <w:t xml:space="preserve">World leaders condemn New Zealand mosque attacks</w:t>
      </w:r>
      <w:r>
        <w:t xml:space="preserve">. (2019).</w:t>
      </w:r>
      <w:r>
        <w:t xml:space="preserve"> </w:t>
      </w:r>
      <w:hyperlink r:id="rId217">
        <w:r>
          <w:rPr>
            <w:rStyle w:val="Hyperlink"/>
          </w:rPr>
          <w:t xml:space="preserve">https://www.aljazeera.com/news/2019/3/15/the-world-reacts-to-new-zealand-mosque-attacks</w:t>
        </w:r>
      </w:hyperlink>
    </w:p>
    <w:bookmarkEnd w:id="218"/>
    <w:bookmarkStart w:id="219"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219"/>
    <w:bookmarkEnd w:id="220"/>
    <w:p>
      <w:r>
        <w:br w:type="page"/>
      </w:r>
    </w:p>
    <w:p>
      <w:r>
        <w:br w:type="page"/>
      </w:r>
    </w:p>
    <w:bookmarkStart w:id="221"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by Selected Cities (From Stats NZ, 2024)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221"/>
    <w:p>
      <w:r>
        <w:br w:type="page"/>
      </w:r>
    </w:p>
    <w:bookmarkStart w:id="225"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223" name="Picture"/>
            <a:graphic>
              <a:graphicData uri="http://schemas.openxmlformats.org/drawingml/2006/picture">
                <pic:pic>
                  <pic:nvPicPr>
                    <pic:cNvPr descr="figs/warmth.png" id="224" name="Picture"/>
                    <pic:cNvPicPr>
                      <a:picLocks noChangeArrowheads="1" noChangeAspect="1"/>
                    </pic:cNvPicPr>
                  </pic:nvPicPr>
                  <pic:blipFill>
                    <a:blip r:embed="rId222"/>
                    <a:stretch>
                      <a:fillRect/>
                    </a:stretch>
                  </pic:blipFill>
                  <pic:spPr bwMode="auto">
                    <a:xfrm>
                      <a:off x="0" y="0"/>
                      <a:ext cx="4457700" cy="1591623"/>
                    </a:xfrm>
                    <a:prstGeom prst="rect">
                      <a:avLst/>
                    </a:prstGeom>
                    <a:noFill/>
                    <a:ln w="9525">
                      <a:noFill/>
                      <a:headEnd/>
                      <a:tailEnd/>
                    </a:ln>
                  </pic:spPr>
                </pic:pic>
              </a:graphicData>
            </a:graphic>
          </wp:inline>
        </w:drawing>
      </w:r>
    </w:p>
    <w:bookmarkEnd w:id="225"/>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29"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227" name="Picture"/>
            <a:graphic>
              <a:graphicData uri="http://schemas.openxmlformats.org/drawingml/2006/picture">
                <pic:pic>
                  <pic:nvPicPr>
                    <pic:cNvPr descr="figs/chronic-disease.png" id="228" name="Picture"/>
                    <pic:cNvPicPr>
                      <a:picLocks noChangeArrowheads="1" noChangeAspect="1"/>
                    </pic:cNvPicPr>
                  </pic:nvPicPr>
                  <pic:blipFill>
                    <a:blip r:embed="rId226"/>
                    <a:stretch>
                      <a:fillRect/>
                    </a:stretch>
                  </pic:blipFill>
                  <pic:spPr bwMode="auto">
                    <a:xfrm>
                      <a:off x="0" y="0"/>
                      <a:ext cx="4457700" cy="2103365"/>
                    </a:xfrm>
                    <a:prstGeom prst="rect">
                      <a:avLst/>
                    </a:prstGeom>
                    <a:noFill/>
                    <a:ln w="9525">
                      <a:noFill/>
                      <a:headEnd/>
                      <a:tailEnd/>
                    </a:ln>
                  </pic:spPr>
                </pic:pic>
              </a:graphicData>
            </a:graphic>
          </wp:inline>
        </w:drawing>
      </w:r>
    </w:p>
    <w:bookmarkEnd w:id="229"/>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3"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31" name="Picture"/>
            <a:graphic>
              <a:graphicData uri="http://schemas.openxmlformats.org/drawingml/2006/picture">
                <pic:pic>
                  <pic:nvPicPr>
                    <pic:cNvPr descr="figs/kessler-6.png" id="232" name="Picture"/>
                    <pic:cNvPicPr>
                      <a:picLocks noChangeArrowheads="1" noChangeAspect="1"/>
                    </pic:cNvPicPr>
                  </pic:nvPicPr>
                  <pic:blipFill>
                    <a:blip r:embed="rId230"/>
                    <a:stretch>
                      <a:fillRect/>
                    </a:stretch>
                  </pic:blipFill>
                  <pic:spPr bwMode="auto">
                    <a:xfrm>
                      <a:off x="0" y="0"/>
                      <a:ext cx="4457700" cy="2009462"/>
                    </a:xfrm>
                    <a:prstGeom prst="rect">
                      <a:avLst/>
                    </a:prstGeom>
                    <a:noFill/>
                    <a:ln w="9525">
                      <a:noFill/>
                      <a:headEnd/>
                      <a:tailEnd/>
                    </a:ln>
                  </pic:spPr>
                </pic:pic>
              </a:graphicData>
            </a:graphic>
          </wp:inline>
        </w:drawing>
      </w:r>
    </w:p>
    <w:bookmarkEnd w:id="233"/>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7"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35" name="Picture"/>
            <a:graphic>
              <a:graphicData uri="http://schemas.openxmlformats.org/drawingml/2006/picture">
                <pic:pic>
                  <pic:nvPicPr>
                    <pic:cNvPr descr="figs/life-sat.png" id="236" name="Picture"/>
                    <pic:cNvPicPr>
                      <a:picLocks noChangeArrowheads="1" noChangeAspect="1"/>
                    </pic:cNvPicPr>
                  </pic:nvPicPr>
                  <pic:blipFill>
                    <a:blip r:embed="rId234"/>
                    <a:stretch>
                      <a:fillRect/>
                    </a:stretch>
                  </pic:blipFill>
                  <pic:spPr bwMode="auto">
                    <a:xfrm>
                      <a:off x="0" y="0"/>
                      <a:ext cx="4457700" cy="1914453"/>
                    </a:xfrm>
                    <a:prstGeom prst="rect">
                      <a:avLst/>
                    </a:prstGeom>
                    <a:noFill/>
                    <a:ln w="9525">
                      <a:noFill/>
                      <a:headEnd/>
                      <a:tailEnd/>
                    </a:ln>
                  </pic:spPr>
                </pic:pic>
              </a:graphicData>
            </a:graphic>
          </wp:inline>
        </w:drawing>
      </w:r>
    </w:p>
    <w:bookmarkEnd w:id="237"/>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1"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39" name="Picture"/>
            <a:graphic>
              <a:graphicData uri="http://schemas.openxmlformats.org/drawingml/2006/picture">
                <pic:pic>
                  <pic:nvPicPr>
                    <pic:cNvPr descr="figs/ethnic-groups.png" id="240" name="Picture"/>
                    <pic:cNvPicPr>
                      <a:picLocks noChangeArrowheads="1" noChangeAspect="1"/>
                    </pic:cNvPicPr>
                  </pic:nvPicPr>
                  <pic:blipFill>
                    <a:blip r:embed="rId238"/>
                    <a:stretch>
                      <a:fillRect/>
                    </a:stretch>
                  </pic:blipFill>
                  <pic:spPr bwMode="auto">
                    <a:xfrm>
                      <a:off x="0" y="0"/>
                      <a:ext cx="4457700" cy="2660240"/>
                    </a:xfrm>
                    <a:prstGeom prst="rect">
                      <a:avLst/>
                    </a:prstGeom>
                    <a:noFill/>
                    <a:ln w="9525">
                      <a:noFill/>
                      <a:headEnd/>
                      <a:tailEnd/>
                    </a:ln>
                  </pic:spPr>
                </pic:pic>
              </a:graphicData>
            </a:graphic>
          </wp:inline>
        </w:drawing>
      </w:r>
    </w:p>
    <w:bookmarkEnd w:id="241"/>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5"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43" name="Picture"/>
            <a:graphic>
              <a:graphicData uri="http://schemas.openxmlformats.org/drawingml/2006/picture">
                <pic:pic>
                  <pic:nvPicPr>
                    <pic:cNvPr descr="figs/project_timeline.png" id="244" name="Picture"/>
                    <pic:cNvPicPr>
                      <a:picLocks noChangeArrowheads="1" noChangeAspect="1"/>
                    </pic:cNvPicPr>
                  </pic:nvPicPr>
                  <pic:blipFill>
                    <a:blip r:embed="rId242"/>
                    <a:stretch>
                      <a:fillRect/>
                    </a:stretch>
                  </pic:blipFill>
                  <pic:spPr bwMode="auto">
                    <a:xfrm>
                      <a:off x="0" y="0"/>
                      <a:ext cx="5943600" cy="3566160"/>
                    </a:xfrm>
                    <a:prstGeom prst="rect">
                      <a:avLst/>
                    </a:prstGeom>
                    <a:noFill/>
                    <a:ln w="9525">
                      <a:noFill/>
                      <a:headEnd/>
                      <a:tailEnd/>
                    </a:ln>
                  </pic:spPr>
                </pic:pic>
              </a:graphicData>
            </a:graphic>
          </wp:inline>
        </w:drawing>
      </w:r>
    </w:p>
    <w:bookmarkEnd w:id="245"/>
    <w:p>
      <w:r>
        <w:br w:type="page"/>
      </w:r>
    </w:p>
    <w:bookmarkEnd w:id="246"/>
    <w:bookmarkStart w:id="247" w:name="appendix"/>
    <w:p>
      <w:pPr>
        <w:pStyle w:val="Heading1"/>
      </w:pPr>
      <w:r>
        <w:t xml:space="preserve">Appendix</w:t>
      </w:r>
    </w:p>
    <w:bookmarkEnd w:id="247"/>
    <w:bookmarkStart w:id="249"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1"/>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1"/>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1"/>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1"/>
        </w:numPr>
        <w:pStyle w:val="Compact"/>
      </w:pPr>
      <w:r>
        <w:rPr>
          <w:rStyle w:val="VerbatimChar"/>
        </w:rPr>
        <w:t xml:space="preserve">Cover letter</w:t>
      </w:r>
      <w:r>
        <w:t xml:space="preserve"> </w:t>
      </w:r>
      <w:r>
        <w:t xml:space="preserve">for the Muslim Diversity Study.</w:t>
      </w:r>
    </w:p>
    <w:p>
      <w:pPr>
        <w:numPr>
          <w:ilvl w:val="0"/>
          <w:numId w:val="1011"/>
        </w:numPr>
        <w:pStyle w:val="Compact"/>
      </w:pPr>
      <w:r>
        <w:t xml:space="preserve">MDS</w:t>
      </w:r>
      <w:r>
        <w:t xml:space="preserve"> </w:t>
      </w:r>
      <w:r>
        <w:rPr>
          <w:rStyle w:val="VerbatimChar"/>
        </w:rPr>
        <w:t xml:space="preserve">Questionnaire</w:t>
      </w:r>
      <w:r>
        <w:t xml:space="preserve"> </w:t>
      </w:r>
      <w:r>
        <w:t xml:space="preserve">(pdf)</w:t>
      </w:r>
    </w:p>
    <w:p>
      <w:pPr>
        <w:numPr>
          <w:ilvl w:val="0"/>
          <w:numId w:val="1011"/>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1"/>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organizations.</w:t>
      </w:r>
    </w:p>
    <w:p>
      <w:pPr>
        <w:numPr>
          <w:ilvl w:val="0"/>
          <w:numId w:val="1011"/>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1"/>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1"/>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1"/>
        </w:numPr>
        <w:pStyle w:val="Compact"/>
      </w:pPr>
      <w:r>
        <w:t xml:space="preserve">This</w:t>
      </w:r>
      <w:r>
        <w:t xml:space="preserve"> </w:t>
      </w:r>
      <w:r>
        <w:rPr>
          <w:rStyle w:val="VerbatimChar"/>
        </w:rPr>
        <w:t xml:space="preserve">document</w:t>
      </w:r>
      <w:r>
        <w:t xml:space="preserve"> </w:t>
      </w:r>
      <w:r>
        <w:t xml:space="preserve">can be shared with organizations to introduce MDS.</w:t>
      </w:r>
    </w:p>
    <w:p>
      <w:pPr>
        <w:numPr>
          <w:ilvl w:val="0"/>
          <w:numId w:val="1011"/>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1"/>
        </w:numPr>
        <w:pStyle w:val="Compact"/>
      </w:pPr>
      <w:r>
        <w:t xml:space="preserve">Please use</w:t>
      </w:r>
      <w:r>
        <w:t xml:space="preserve"> </w:t>
      </w:r>
      <w:r>
        <w:rPr>
          <w:rStyle w:val="VerbatimChar"/>
        </w:rPr>
        <w:t xml:space="preserve">this</w:t>
      </w:r>
      <w:r>
        <w:t xml:space="preserve"> </w:t>
      </w:r>
      <w:r>
        <w:t xml:space="preserve">guideline for reaching out to organizations.</w:t>
      </w:r>
    </w:p>
    <w:p>
      <w:pPr>
        <w:numPr>
          <w:ilvl w:val="0"/>
          <w:numId w:val="1011"/>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1"/>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1"/>
        </w:numPr>
        <w:pStyle w:val="Compact"/>
      </w:pPr>
      <w:r>
        <w:t xml:space="preserve">Find our social media and website</w:t>
      </w:r>
      <w:r>
        <w:t xml:space="preserve"> </w:t>
      </w:r>
      <w:r>
        <w:rPr>
          <w:rStyle w:val="VerbatimChar"/>
        </w:rPr>
        <w:t xml:space="preserve">here</w:t>
      </w:r>
      <w:r>
        <w:t xml:space="preserve">.</w:t>
      </w:r>
    </w:p>
    <w:p>
      <w:pPr>
        <w:numPr>
          <w:ilvl w:val="0"/>
          <w:numId w:val="1011"/>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1"/>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1"/>
        </w:numPr>
        <w:pStyle w:val="Compact"/>
      </w:pPr>
      <w:r>
        <w:t xml:space="preserve">To claim your hours, log-in</w:t>
      </w:r>
      <w:r>
        <w:t xml:space="preserve"> </w:t>
      </w:r>
      <w:r>
        <w:rPr>
          <w:rStyle w:val="VerbatimChar"/>
        </w:rPr>
        <w:t xml:space="preserve">here</w:t>
      </w:r>
      <w:r>
        <w:t xml:space="preserve">.</w:t>
      </w:r>
    </w:p>
    <w:p>
      <w:pPr>
        <w:numPr>
          <w:ilvl w:val="0"/>
          <w:numId w:val="1011"/>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1"/>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1"/>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1"/>
        </w:numPr>
        <w:pStyle w:val="Compact"/>
      </w:pPr>
      <w:hyperlink r:id="rId248">
        <w:r>
          <w:rPr>
            <w:rStyle w:val="Hyperlink"/>
          </w:rPr>
          <w:t xml:space="preserve">https://linktr.ee/muslims_nz</w:t>
        </w:r>
      </w:hyperlink>
    </w:p>
    <w:p>
      <w:pPr>
        <w:numPr>
          <w:ilvl w:val="0"/>
          <w:numId w:val="1011"/>
        </w:numPr>
        <w:pStyle w:val="Compact"/>
      </w:pPr>
      <w:hyperlink r:id="rId145">
        <w:r>
          <w:rPr>
            <w:rStyle w:val="Hyperlink"/>
          </w:rPr>
          <w:t xml:space="preserve">https://linktr.ee/muslimdiversity</w:t>
        </w:r>
      </w:hyperlink>
    </w:p>
    <w:p>
      <w:r>
        <w:br w:type="page"/>
      </w:r>
    </w:p>
    <w:bookmarkEnd w:id="249"/>
    <w:bookmarkStart w:id="250" w:name="appendix-1"/>
    <w:p>
      <w:pPr>
        <w:pStyle w:val="Heading1"/>
      </w:pPr>
      <w:r>
        <w:t xml:space="preserve">Appendix</w:t>
      </w:r>
    </w:p>
    <w:bookmarkEnd w:id="250"/>
    <w:bookmarkStart w:id="253" w:name="message-to-individual-participants"/>
    <w:p>
      <w:pPr>
        <w:pStyle w:val="Heading1"/>
      </w:pPr>
      <w:r>
        <w:t xml:space="preserve">Message to Individual Participants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3"/>
    <w:bookmarkStart w:id="254" w:name="appendix-2"/>
    <w:p>
      <w:pPr>
        <w:pStyle w:val="Heading1"/>
      </w:pPr>
      <w:r>
        <w:t xml:space="preserve">Appendix</w:t>
      </w:r>
    </w:p>
    <w:bookmarkEnd w:id="254"/>
    <w:bookmarkStart w:id="255"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5"/>
    <w:bookmarkStart w:id="260" w:name="appendix-3"/>
    <w:p>
      <w:pPr>
        <w:pStyle w:val="Heading1"/>
      </w:pPr>
      <w:r>
        <w:t xml:space="preserve">Appendix</w:t>
      </w:r>
    </w:p>
    <w:bookmarkStart w:id="259"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57" name="Picture"/>
            <a:graphic>
              <a:graphicData uri="http://schemas.openxmlformats.org/drawingml/2006/picture">
                <pic:pic>
                  <pic:nvPicPr>
                    <pic:cNvPr descr="figs/flyer-v1.png" id="258" name="Picture"/>
                    <pic:cNvPicPr>
                      <a:picLocks noChangeArrowheads="1" noChangeAspect="1"/>
                    </pic:cNvPicPr>
                  </pic:nvPicPr>
                  <pic:blipFill>
                    <a:blip r:embed="rId256"/>
                    <a:stretch>
                      <a:fillRect/>
                    </a:stretch>
                  </pic:blipFill>
                  <pic:spPr bwMode="auto">
                    <a:xfrm>
                      <a:off x="0" y="0"/>
                      <a:ext cx="4754880" cy="6352831"/>
                    </a:xfrm>
                    <a:prstGeom prst="rect">
                      <a:avLst/>
                    </a:prstGeom>
                    <a:noFill/>
                    <a:ln w="9525">
                      <a:noFill/>
                      <a:headEnd/>
                      <a:tailEnd/>
                    </a:ln>
                  </pic:spPr>
                </pic:pic>
              </a:graphicData>
            </a:graphic>
          </wp:inline>
        </w:drawing>
      </w:r>
    </w:p>
    <w:bookmarkEnd w:id="259"/>
    <w:p>
      <w:r>
        <w:br w:type="page"/>
      </w:r>
    </w:p>
    <w:bookmarkEnd w:id="260"/>
    <w:bookmarkStart w:id="265" w:name="appendix-4"/>
    <w:p>
      <w:pPr>
        <w:pStyle w:val="Heading1"/>
      </w:pPr>
      <w:r>
        <w:t xml:space="preserve">Appendix</w:t>
      </w:r>
    </w:p>
    <w:bookmarkStart w:id="264"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62" name="Picture"/>
            <a:graphic>
              <a:graphicData uri="http://schemas.openxmlformats.org/drawingml/2006/picture">
                <pic:pic>
                  <pic:nvPicPr>
                    <pic:cNvPr descr="figs/poster-v1.png" id="263" name="Picture"/>
                    <pic:cNvPicPr>
                      <a:picLocks noChangeArrowheads="1" noChangeAspect="1"/>
                    </pic:cNvPicPr>
                  </pic:nvPicPr>
                  <pic:blipFill>
                    <a:blip r:embed="rId261"/>
                    <a:stretch>
                      <a:fillRect/>
                    </a:stretch>
                  </pic:blipFill>
                  <pic:spPr bwMode="auto">
                    <a:xfrm>
                      <a:off x="0" y="0"/>
                      <a:ext cx="4754880" cy="6217365"/>
                    </a:xfrm>
                    <a:prstGeom prst="rect">
                      <a:avLst/>
                    </a:prstGeom>
                    <a:noFill/>
                    <a:ln w="9525">
                      <a:noFill/>
                      <a:headEnd/>
                      <a:tailEnd/>
                    </a:ln>
                  </pic:spPr>
                </pic:pic>
              </a:graphicData>
            </a:graphic>
          </wp:inline>
        </w:drawing>
      </w:r>
    </w:p>
    <w:bookmarkEnd w:id="264"/>
    <w:p>
      <w:r>
        <w:br w:type="page"/>
      </w:r>
    </w:p>
    <w:bookmarkEnd w:id="265"/>
    <w:bookmarkStart w:id="266" w:name="appendix-5"/>
    <w:p>
      <w:pPr>
        <w:pStyle w:val="Heading1"/>
      </w:pPr>
      <w:r>
        <w:t xml:space="preserve">Appendix</w:t>
      </w:r>
    </w:p>
    <w:bookmarkEnd w:id="266"/>
    <w:bookmarkStart w:id="267"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67"/>
    <w:bookmarkStart w:id="272" w:name="appendix-6"/>
    <w:p>
      <w:pPr>
        <w:pStyle w:val="Heading1"/>
      </w:pPr>
      <w:r>
        <w:t xml:space="preserve">Appendix</w:t>
      </w:r>
    </w:p>
    <w:bookmarkStart w:id="268"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47">
        <w:r>
          <w:rPr>
            <w:rStyle w:val="Hyperlink"/>
          </w:rPr>
          <w:t xml:space="preserve">https://osf.io/75snb/wiki/home/</w:t>
        </w:r>
      </w:hyperlink>
    </w:p>
    <w:bookmarkEnd w:id="268"/>
    <w:bookmarkStart w:id="270"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69">
        <w:r>
          <w:rPr>
            <w:rStyle w:val="Hyperlink"/>
          </w:rPr>
          <w:t xml:space="preserve">humanethics@auckland.ac.nz</w:t>
        </w:r>
      </w:hyperlink>
      <w:r>
        <w:t xml:space="preserve">.</w:t>
      </w:r>
    </w:p>
    <w:bookmarkEnd w:id="270"/>
    <w:bookmarkStart w:id="271"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71"/>
    <w:bookmarkEnd w:id="272"/>
    <w:bookmarkStart w:id="273" w:name="appendix-7"/>
    <w:p>
      <w:pPr>
        <w:pStyle w:val="Heading1"/>
      </w:pPr>
      <w:r>
        <w:t xml:space="preserve">Appendix</w:t>
      </w:r>
    </w:p>
    <w:bookmarkEnd w:id="273"/>
    <w:bookmarkStart w:id="274"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51">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52">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74"/>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226" Target="media/rId226.png" /><Relationship Type="http://schemas.openxmlformats.org/officeDocument/2006/relationships/image" Id="rId238" Target="media/rId238.png" /><Relationship Type="http://schemas.openxmlformats.org/officeDocument/2006/relationships/image" Id="rId256" Target="media/rId25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61" Target="media/rId261.png" /><Relationship Type="http://schemas.openxmlformats.org/officeDocument/2006/relationships/image" Id="rId242" Target="media/rId242.png" /><Relationship Type="http://schemas.openxmlformats.org/officeDocument/2006/relationships/image" Id="rId222" Target="media/rId222.png" /><Relationship Type="http://schemas.openxmlformats.org/officeDocument/2006/relationships/hyperlink" Id="rId161" Target="http://newsroom.co.nz/2020/08/18/what-is-islams-appeal-to-maori/" TargetMode="External" /><Relationship Type="http://schemas.openxmlformats.org/officeDocument/2006/relationships/hyperlink" Id="rId215" Target="http://theconversation.com/hate-crimes-against-muslims-spiked-after-the-mosque-attacks-and-ardern-promises-to-make-such-abuse-illegal-147347" TargetMode="External" /><Relationship Type="http://schemas.openxmlformats.org/officeDocument/2006/relationships/hyperlink" Id="rId199"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7" Target="https://doi.org/10.1017/s0143814x00004918" TargetMode="External" /><Relationship Type="http://schemas.openxmlformats.org/officeDocument/2006/relationships/hyperlink" Id="rId167" Target="https://doi.org/10.1038/s41598-022-05678-x" TargetMode="External" /><Relationship Type="http://schemas.openxmlformats.org/officeDocument/2006/relationships/hyperlink" Id="rId176" Target="https://doi.org/10.1080/1177083x.2020.1733032" TargetMode="External" /><Relationship Type="http://schemas.openxmlformats.org/officeDocument/2006/relationships/hyperlink" Id="rId194" Target="https://doi.org/10.1080/1177083x.2020.1747503" TargetMode="External" /><Relationship Type="http://schemas.openxmlformats.org/officeDocument/2006/relationships/hyperlink" Id="rId165" Target="https://doi.org/10.1093/pnasnexus/pgad242" TargetMode="External" /><Relationship Type="http://schemas.openxmlformats.org/officeDocument/2006/relationships/hyperlink" Id="rId209" Target="https://doi.org/10.1111/nana.12691" TargetMode="External" /><Relationship Type="http://schemas.openxmlformats.org/officeDocument/2006/relationships/hyperlink" Id="rId211"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2"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59"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2"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4" Target="https://www.1news.co.nz/2023/03/12/online-hate-towards-muslims-increasing-since-mosque-attacks/" TargetMode="External" /><Relationship Type="http://schemas.openxmlformats.org/officeDocument/2006/relationships/hyperlink" Id="rId217" Target="https://www.aljazeera.com/news/2019/3/15/the-world-reacts-to-new-zealand-mosque-attacks" TargetMode="External" /><Relationship Type="http://schemas.openxmlformats.org/officeDocument/2006/relationships/hyperlink" Id="rId25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70" Target="https://www.msd.govt.nz/about-msd-and-our-work/publications-resources/journals-and-magazines/social-policy-journal/spj24/24-race-and-ethnicity-in-public-policydoes-it-work-p1-11.html" TargetMode="External" /><Relationship Type="http://schemas.openxmlformats.org/officeDocument/2006/relationships/hyperlink" Id="rId25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2" Target="https://www.rnz.co.nz/news/on-the-inside/384911/islamic-women-s-council-repeatedly-lobbied-to-stem-discrimination" TargetMode="External" /><Relationship Type="http://schemas.openxmlformats.org/officeDocument/2006/relationships/hyperlink" Id="rId207"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69"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61" Target="http://newsroom.co.nz/2020/08/18/what-is-islams-appeal-to-maori/" TargetMode="External" /><Relationship Type="http://schemas.openxmlformats.org/officeDocument/2006/relationships/hyperlink" Id="rId215" Target="http://theconversation.com/hate-crimes-against-muslims-spiked-after-the-mosque-attacks-and-ardern-promises-to-make-such-abuse-illegal-147347" TargetMode="External" /><Relationship Type="http://schemas.openxmlformats.org/officeDocument/2006/relationships/hyperlink" Id="rId199"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7" Target="https://doi.org/10.1017/s0143814x00004918" TargetMode="External" /><Relationship Type="http://schemas.openxmlformats.org/officeDocument/2006/relationships/hyperlink" Id="rId167" Target="https://doi.org/10.1038/s41598-022-05678-x" TargetMode="External" /><Relationship Type="http://schemas.openxmlformats.org/officeDocument/2006/relationships/hyperlink" Id="rId176" Target="https://doi.org/10.1080/1177083x.2020.1733032" TargetMode="External" /><Relationship Type="http://schemas.openxmlformats.org/officeDocument/2006/relationships/hyperlink" Id="rId194" Target="https://doi.org/10.1080/1177083x.2020.1747503" TargetMode="External" /><Relationship Type="http://schemas.openxmlformats.org/officeDocument/2006/relationships/hyperlink" Id="rId165" Target="https://doi.org/10.1093/pnasnexus/pgad242" TargetMode="External" /><Relationship Type="http://schemas.openxmlformats.org/officeDocument/2006/relationships/hyperlink" Id="rId209" Target="https://doi.org/10.1111/nana.12691" TargetMode="External" /><Relationship Type="http://schemas.openxmlformats.org/officeDocument/2006/relationships/hyperlink" Id="rId211"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2"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59"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2"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4" Target="https://www.1news.co.nz/2023/03/12/online-hate-towards-muslims-increasing-since-mosque-attacks/" TargetMode="External" /><Relationship Type="http://schemas.openxmlformats.org/officeDocument/2006/relationships/hyperlink" Id="rId217" Target="https://www.aljazeera.com/news/2019/3/15/the-world-reacts-to-new-zealand-mosque-attacks" TargetMode="External" /><Relationship Type="http://schemas.openxmlformats.org/officeDocument/2006/relationships/hyperlink" Id="rId25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70" Target="https://www.msd.govt.nz/about-msd-and-our-work/publications-resources/journals-and-magazines/social-policy-journal/spj24/24-race-and-ethnicity-in-public-policydoes-it-work-p1-11.html" TargetMode="External" /><Relationship Type="http://schemas.openxmlformats.org/officeDocument/2006/relationships/hyperlink" Id="rId25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2" Target="https://www.rnz.co.nz/news/on-the-inside/384911/islamic-women-s-council-repeatedly-lobbied-to-stem-discrimination" TargetMode="External" /><Relationship Type="http://schemas.openxmlformats.org/officeDocument/2006/relationships/hyperlink" Id="rId207"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69"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PROTOCOL AND INSIGHTS</dc:description>
  <cp:keywords>Muslims, diversity, New Zealand, Muslim Diversity Study (MDS), New Zealand Attitudes and Values Study (MDS)</cp:keywords>
  <dcterms:created xsi:type="dcterms:W3CDTF">2024-11-25T00:08:36Z</dcterms:created>
  <dcterms:modified xsi:type="dcterms:W3CDTF">2024-11-25T00:08:36Z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vt:lpwstr>
  </property>
  <property fmtid="{D5CDD505-2E9C-101B-9397-08002B2CF9AE}" pid="5" name="apaauthor">
    <vt:lpwstr/>
  </property>
  <property fmtid="{D5CDD505-2E9C-101B-9397-08002B2CF9AE}" pid="6" name="apatitle">
    <vt:lpwstr>Muslim Diversity Study: Quantitative protocol and practical insights on engaging New Zealand’s Muslim communities</vt:lpwstr>
  </property>
  <property fmtid="{D5CDD505-2E9C-101B-9397-08002B2CF9AE}" pid="7" name="apatitledisplay">
    <vt:lpwstr>Muslim Diversity Study: Quantitative protocol and practical insights on engaging New Zealand’s Muslim communities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PROTOCOL AND INSIGHTS</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